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ACST/35/2021 vom 21. Oktober 2021</w:t>
      </w:r>
    </w:p>
    <w:p>
      <w:r>
        <w:t>GE Cour de justice, 2021-10-21, FR</w:t>
      </w:r>
    </w:p>
    <w:p>
      <w:r>
        <w:rPr>
          <w:b/>
        </w:rPr>
        <w:t xml:space="preserve">Quelle: </w:t>
      </w:r>
      <w:r>
        <w:t>https://mcp.opencaselaw.ch/entscheid/ge_gerichte_ACST_35_2021</w:t>
      </w:r>
    </w:p>
    <w:p>
      <w:r>
        <w:t>FR: GE_GERICHTE ACST/35/2021 du 21 octobre 2021</w:t>
      </w:r>
    </w:p>
    <w:p>
      <w:r>
        <w:t>IT: GE_GERICHTE ACST/35/2021 del 21 ottobre 2021</w:t>
      </w:r>
    </w:p>
    <w:p>
      <w:pPr>
        <w:pStyle w:val="Heading2"/>
      </w:pPr>
      <w:r>
        <w:t>Erwägungen</w:t>
      </w:r>
    </w:p>
    <w:p>
      <w:r>
        <w:rPr>
          <w:b/>
        </w:rPr>
        <w:t>E. 8</w:t>
      </w:r>
    </w:p>
    <w:p>
      <w:r>
        <w:t>juillet 2021 consid. 2.2). L’art. 6 par. 1 de la Convention de sauvegarde des droits de l’homme et des libertés fondamentales du 4 novembre 1950 (CEDH - RS 0.101), qui s’applique aux contestations sur les droits et obligations de caractère civil et au bien-fondé de toute accusation en matière pénale, donne à toute personne notamment le droit à ce que sa cause soit entendue équitablement et publiquement. La publicité des débats implique le droit pour le justiciable de plaider sa cause lui-même ou par l’intermédiaire de son mandataire (arrêt du Tribunal fédéral 5A_1062/2019 du 16 avril 2020 consid. 4.2 et les références citées).</w:t>
      </w:r>
    </w:p>
    <w:p>
      <w:r>
        <w:t>L’art. 6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(ACEDH Pfurtscheller c. Suisse du 18 septembre 2018, req. 13568/17, § 26).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(ACEDH Mutu et Pechstein c. Suisse du 2 octobre 2018, req. 40575/10 et 67474/10, § 177). De manière générale, il peut être fait abstraction d’une audience de débats publics lorsque le juge doit uniquement décider sur des questions de droit qui ne sont pas particulièrement complexes et qui ne soulèvent pas des questions de portée générale (ATF 147 I 153 consid. 3.5.1 ; arrêts du Tribunal fédéral 8D_5/2019 du 4 juin 2020 consid. 3.2.2 ; 1C_493/2018 du 8 avril 2019 consid. 6.1).</w:t>
      </w:r>
    </w:p>
    <w:p>
      <w:r>
        <w:t>b. En l’espèce, il ne se justifie pas d’accéder à la requête des recourantes visant à la tenue d’une audience de plaidoiries orales. En effet, les questions à trancher sont exclusivement de nature juridique, s’agissant d’un contrôle abstrait de conformité au droit supérieur d’une disposition réglementaire cantonale, et relativement techniques. Les recourantes ont au surplus pu s’exprimer dans leurs écritures sur tous les aspects contestés, répondre aux arguments de l’autorité intimée et produire toutes les pièces qu’elles estimaient utiles pour étayer leur</w:t>
      </w:r>
    </w:p>
    <w:p>
      <w:r>
        <w:t>- 13/22 -</w:t>
      </w:r>
    </w:p>
    <w:p>
      <w:r>
        <w:t>A/1812/2021</w:t>
      </w:r>
    </w:p>
    <w:p>
      <w:r>
        <w:t>point de vue. À cela s’ajoute que la demande, qui n’était pas contenue dans l’acte de recours mais n’a été formulée que le dernier jour du délai, au demeurant prolongé, fixé pour les observations finales, serait de nature à retarder l’issue du recours, alors qu’il est en état d’être jugé. La présente cause ne nécessite ainsi pas la tenue de débats publics, si bien qu’il ne sera pas fait droit à la demande des recourantes.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146 I 70 consid. 4 ; arrêt du Tribunal fédéral 2C_793/2020 du 8 juillet 2021 consid. 2 ; ACST/30/2021 précité consid. 4). 5)</w:t>
      </w:r>
    </w:p>
    <w:p>
      <w:r>
        <w:t>Les recourantes se plaignent, dans un grief de nature formelle qu’il convient d’examiner en premier lieu (ATF 141 V 557 consid. 3), de ce que le règlement litigieux aurait été adopté au mépris de leur droit d’être entendu et de la liberté syndicale.</w:t>
      </w:r>
    </w:p>
    <w:p>
      <w:r>
        <w:t>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Ce droit est garanti essentiellement dans le cadre des procédures administratives ou judiciaires. Ainsi, en matière administrative, il prévaut dans les procédures conduisant à l’adoption de décisions administratives, donc de mesures individuelles et concrètes fondées sur le droit</w:t>
      </w:r>
    </w:p>
    <w:p>
      <w:r>
        <w:t>- 14/22 -</w:t>
      </w:r>
    </w:p>
    <w:p>
      <w:r>
        <w:t>A/1812/2021</w:t>
      </w:r>
    </w:p>
    <w:p>
      <w:r>
        <w:t>public portant sur des droits ou obligations des administrés, soit, dans toutes les procédures d’application du droit.</w:t>
      </w:r>
    </w:p>
    <w:p>
      <w:r>
        <w:t>b. Dans le cadre d’une procédure législative, c’est-à-dire dans une procédure qui conduit à l’adoption de normes générales et abstraites, la Cst. ne confère pas aux citoyens le droit d’être entendus (ATF 137 I 195 consid. 2.4).</w:t>
      </w:r>
    </w:p>
    <w:p>
      <w:r>
        <w:t>Selon la jurisprudence,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et les arrêts cités).</w:t>
      </w:r>
    </w:p>
    <w:p>
      <w:r>
        <w:t>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144 I 50 consid. 5.3.2 ; arrêts du Tribunal fédéral 2C_752/2018 du 29 août 2019 consid. 3.1 ; 1C_346/2018 du 4 mars 2019 consid. 5.1).</w:t>
      </w:r>
    </w:p>
    <w:p>
      <w:r>
        <w:t>c. En droit genevois, selon l’art. 109 Cst-GE, le Conseil d’État dirige la phase préparatoire de la procédure législative (al. 1). Il promulgue les lois, est chargé de leur exécution et adopte à cet effet les règlements et arrêtés nécessaires (al. 4). L’art. 110 Cst-GE – situé dans le chapitre 2 du titre IV, consacré au Conseil d’État et non au Grand Conseil – prévoit que les communes, les partis politiques et les milieux représentatifs sont invités à se prononcer lors des travaux préparatoires concernant des actes législatifs et des conventions intercantonales importants, ainsi que sur les autres projets de grande portée.</w:t>
      </w:r>
    </w:p>
    <w:p>
      <w:r>
        <w:t>Instituée par l’art. 16 al. 2 let. c de la loi sur le service de l’emploi et la location de services du 18 septembre 1992 (LSELS - J 2 05), la CMA est une sous-commission du CSME, lequel est chargé d’examiner les problèmes d’application relatifs à la politique générale du marché du travail, est consulté avant que de nouvelles mesures touchant au marché du travail et au chômage ne soient prises (art. 12 al. 1 LSELS) et est l’autorité compétente en matière de politique générale du marché du travail (art. 18 al. 1 LIRT). La CMA comprend deux représentants de l’État, dont l’un qui la préside, et quatre représentants des milieux professionnels (deux employeurs et deux travailleurs), ainsi que leurs suppléants (art. 23B al. 2 du règlement d’exécution de la loi sur le service de l’emploi et la location de services du 14 décembre 1992 - RSELS - J 2 05.01). La CMA dépend du CSME et est chargée d’instruire pour lui les plaintes ou questions qui lui sont transmises (art. 18 al. 4 LIRT ; art. 39 al. 1 RIRT). Le CSME peut également déléguer à la CMA d’autres compétences (art. 39 al. 2 RIRT).</w:t>
      </w:r>
    </w:p>
    <w:p>
      <w:r>
        <w:t>- 15/22 -</w:t>
      </w:r>
    </w:p>
    <w:p>
      <w:r>
        <w:t>A/1812/2021</w:t>
      </w:r>
    </w:p>
    <w:p>
      <w:r>
        <w:t>6)</w:t>
      </w:r>
    </w:p>
    <w:p>
      <w:r>
        <w:t>En l’espèce, outre les discussions entamées par le CSME au sujet des modalités d’application de la LIRT, il ressort des pièces versées à la procédure par l’autorité intimée que la FER, par le biais d’un membre de sa direction ainsi que d’un représentant de la FMB, laquelle est membre, comme la FER, de l’UAPG, a été consultée dans le cadre de l’élaboration de la modification du RIRT visant à mettre en œuvre le salaire minimum. En effet, lors des diverses séances de la CMA, les représentants de l’UAPG ont été associés aux discussions qui ont notamment porté, selon le procès-verbal de la séance du 15 mars 2021, sur la question de la mensualisation du salaire minimum. Dans ce cadre, lesdits représentants ont pu exprimer leur point de vue et les difficultés que pouvaient rencontrer certaines professions avec la disposition projetée, et ce avant son adoption. Même si la jurisprudence ne définit pas ce qu’il convient d’entendre par le fait de s’exprimer sous une forme appropriée (ACST/31/2020 du 2 octobre 2020 consid. 7), il convient de considérer que tel a bien été le cas en l’espèce, au regard de ces éléments ainsi que des échanges de courriels versés au dossier par l’autorité intimée, et ce indépendamment de la solution finalement retenue et du fait que l’avis des membres de l’UAPG n’ait pas été suivi. À cela s’ajoute que la modification réglementaire litigieuse n’apparaît pas non plus significative, au sens de la jurisprudence (ATF 144 I 50 consid. 5.3.2) et au regard de ce qui suit. Le grief sera par conséquent rejeté. 7)</w:t>
      </w:r>
    </w:p>
    <w:p>
      <w:r>
        <w:t>Les recourantes prétendent que l’art. 56F al. 2 RIRT serait contraire au principe de la séparation des pouvoirs, dès lors qu’il serait une norme primaire que l’autorité intimée ne pouvait adopter, à défaut de disposer d’une délégation législative dans la LIRT l’y habilitant.</w:t>
      </w:r>
    </w:p>
    <w:p>
      <w:r>
        <w:t>a. Le principe de la légalité, consacré à l’art. 5 al.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et les références citées).</w:t>
      </w:r>
    </w:p>
    <w:p>
      <w:r>
        <w:t>b. Le principe de la séparation des pouvoirs est garanti, au moins implicitement, par toutes les constitutions cantonales, et à Genève même de manière expresse à l’art. 2 al. 2 Cst-GE,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w:t>
      </w:r>
    </w:p>
    <w:p>
      <w:r>
        <w:t>- 16/22 -</w:t>
      </w:r>
    </w:p>
    <w:p>
      <w:r>
        <w:t>A/1812/2021</w:t>
      </w:r>
    </w:p>
    <w:p>
      <w:r>
        <w:t>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w:t>
      </w:r>
    </w:p>
    <w:p>
      <w:r>
        <w:t>c.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1er novembre 2019 consid. 9). Pour que le Conseil d’État puisse édicter des normes de substitution, ou normes primaires, il faut qu’une clause de délégation législative l’y habilite (ATF 133 II 331 consid. 7.2.1 ; ACST/30/2021 précité consid. 6c et les références citées). 8)</w:t>
      </w:r>
    </w:p>
    <w:p>
      <w:r>
        <w:t>En l’espèce, selon les recourantes, le fait de prévoir à l’art. 56F al. 2 RIRT un versement mensuel constituerait une norme primaire, qui ne trouverait aucun fondement dans la loi, laquelle se limitait à se référer à l’année ou à l’heure.</w:t>
      </w:r>
    </w:p>
    <w:p>
      <w:r>
        <w:t>S’il est vrai que la LIRT mentionne un salaire horaire de CHF 23.-, que les travaux ayant conduit à son adoption en font de même, tout comme d’ailleurs l’arrêté du Conseil d’État relatif au salaire minimum légal pour 2020 et 2021 du 28 octobre 2020, et que la même autorité, dans l’arrêté relatif à la validité de l’IN 173 du 27 février 2019 ainsi que la chambre de céans dans ses arrêts relatifs au salaire minimum du 22 avril 2021 (ACST/15/2021 et ACST/16/2021) se réfèrent à un salaire annuel, ces éléments ne suffisent pas à assoir la thèse des recourantes. En effet et contrairement à ce qu’elles semblent soutenir, lesdites références, horaires et annuelles, ne concernent pas l’échéance du salaire minimum, mais respectivement son montant et le calcul ayant permis d’y parvenir. Il ressort ainsi de l’arrêté précité du Conseil d’État sur la validité de l’IN 173 que c’est sur une base annuelle, en référence aux PCC déterminées de la même manière, qu’a abouti un salaire horaire brut de CHF 23.76 à raison d’une activité à plein temps de quarante-et-une heures hebdomadaires. Par ailleurs, les recourantes ne peuvent rien tirer des explications du comité du 10 janvier 2019 adressées au Conseil d’État puisqu’elles concernent le temps d’adaptation</w:t>
      </w:r>
    </w:p>
    <w:p>
      <w:r>
        <w:t>- 17/22 -</w:t>
      </w:r>
    </w:p>
    <w:p>
      <w:r>
        <w:t>A/1812/2021</w:t>
      </w:r>
    </w:p>
    <w:p>
      <w:r>
        <w:t>nécessaire aux entreprises pour l’indexation du salaire minimum et non son échéance de paiement.</w:t>
      </w:r>
    </w:p>
    <w:p>
      <w:r>
        <w:t>Il ressort bien plus des considérations ayant présidé à l’adoption de la novelle issue de l’IN 173 que l’instauration d’un salaire minimum visait à lutter contre la pauvreté à Genève et enrayer le phénomène des travailleurs pauvres, en leur permettant de vivre de leur emploi sans devoir recourir à l’aide sociale, comme le prévoit l’art. 1 al. 4 LIRT. Or, pour atteindre un tel but, un salaire mensuel correspondant au salaire horaire minimum, obtenu par le calcul rappelé ci-dessus, doit leur être accordé chaque mois et non pas être différé en fin d’année. C’est dans ce sens que les représentants syndicaux à l’origine de l’IN 173, entendus devant la commission, ont expliqué qu’à Genève, presque une personne sur dix gagnait moins de CHF 4'000.- par mois, ce qui ne suffisait pas pour subsister au regard du coût de la vie élevé dans le canton. C’est aussi dans le même sens que le représentant de l’OCSTAT a indiqué qu’un salaire minimum de CHF 23.- par heure, converti dans le système statistique, correspondait à CHF 3’987.- par mois, soit un montant en dessous des deux tiers du salaire médian, qui était de CHF 4’852.- en 2016, c’est-à-dire en dessous du niveau de bas salaire. Admettre, comme le font les recourantes, que le versement de la part du salaire permettant d’atteindre le salaire minimum soit différé, par exemple en fin d’année, irait à l’encontre du sens et du but de la novelle issue de l’IN 173, dont elle entraverait l’application et ce de manière contraire à la volonté populaire.</w:t>
      </w:r>
    </w:p>
    <w:p>
      <w:r>
        <w:t>L’on ne saurait ainsi prétendre que l’art. 56F al. 2 RIRT ne trouve aucun fondement dans la loi, qu’elle met en œuvre sans pour autant poser une règle nouvelle. En effet, le principe veut que le salaire soit payé mensuellement, à la fin de chaque mois, comme le prévoit l’art. 323 al. 1 de la loi fédérale du 30 mars 1911 complétant le Code civil suisse (CO, Code des obligations - RS 220) consacré aux délais et terme de paiement, même si d’autres termes peuvent être prévus conventionnellement. Cette disposition ne permet en particulier pas que le paiement du salaire soit ajourné à plus d’un mois après le moment où le travail a été accompli (arrêt du Tribunal fédéral 4A_192/2008 du 9 octobre 2008 consid. 5 ; Rémy WYLER/Boris HEINZER, Droit du travail, 3ème éd., 2019, p. 202). Du moment où le salaire minimum constitue un élément du salaire, il doit par conséquent respecter l’échéance prévue par cet article, sous peine de faire supporter à l’employé le risque d’entreprise et le risque économique s’agissant de la part afférente au salaire minimum. Cette situation n’empêche toutefois pas l’employeur de différer le paiement pour les parts variables du salaire dépassant la part du salaire minimum inscrit dans la LIRT, ce que l’art 56F al. 2 RIRT permet en outre expressément pour le 13e salaire. Par ailleurs, la comparaison que tentent de faire les recourantes avec les CCT ou les contrats-types est également infondée puisqu’elles perdent de vue que l’art. 39L LIRT prévoit expressément la primauté du salaire minimum fixé à l’art. 39K LIRT sur tout autre salaire.</w:t>
      </w:r>
    </w:p>
    <w:p>
      <w:r>
        <w:t>- 18/22 -</w:t>
      </w:r>
    </w:p>
    <w:p>
      <w:r>
        <w:t>A/1812/2021</w:t>
      </w:r>
    </w:p>
    <w:p>
      <w:r>
        <w:t>Les recourantes ne peuvent pas non plus soutenir que la disposition litigieuse serait contraire à l’art. 39K al. 4 LIRT, lequel renvoie au salaire déterminant au sens de la LAVS. Cette dernière n’a en particulier pas trait à l’échéance du paiement du salaire, mais vise la rémunération soumise à déductions sociales et n’a pas pour vocation de déroger au terme de paiement de l’art. 323 al. 1 CO. Au contraire, en cas de salaire différé, à savoir lorsque le salaire n’est pas versé immédiatement à la fin de la période pour laquelle il est dû, l’élément déterminant est la période où le travail a été fourni et non la date à laquelle il est versé, si bien que les cotisations sont dues si les bénéficiaires du salaire différé étaient assurés et tenus de cotiser lorsqu’ils ont fourni le travail en question (Centre d’information AVS/AI et Office fédéral des assurances sociale, Cotisations salariales à l’AVS, à l’AI et aux APG, état au 1er janvier 2021, p. 14). Au demeurant, comme précédemment indiqué, rien n’empêche l’employeur de différer le paiement de la part du salaire dépassant le salaire minimum.</w:t>
      </w:r>
    </w:p>
    <w:p>
      <w:r>
        <w:t>Par conséquent, l’art. 56F al. 2 RIRT, en tant qu’il prévoit que le versement de la rémunération conforme au salaire horaire minimum doit s’effectuer sur une base mensuelle, est une norme secondaire, qui s’inscrit dans le cadre de la LIRT, qu’il met en œuvre. Le grief en lien avec la violation de la séparation des pouvoirs sera par conséquent écarté. 9)</w:t>
      </w:r>
    </w:p>
    <w:p>
      <w:r>
        <w:t>Sous l’angle de la primauté du droit fédéral, les recourantes soutiennent que l’art. 56F al. 2 RIRT serait contraire à la liberté contractuelle et à la LAVS.</w:t>
      </w:r>
    </w:p>
    <w:p>
      <w:r>
        <w:t>a.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5A_485/2020 du 25 mars 2021 consid. 6.1.1).</w:t>
      </w:r>
    </w:p>
    <w:p>
      <w:r>
        <w:t>b. En l’espèce, les recourantes ne sauraient être suivies lorsqu’elles allèguent que la disposition litigieuse serait contraire à la liberté contractuelle en tant qu’elle restreindrait, voire rendrait impossibles, de nombreuses formes de collaboration entre un employeur et ses employés.</w:t>
      </w:r>
    </w:p>
    <w:p>
      <w:r>
        <w:t>Elles perdent de vue que la chambre de céans (ACST/15/2021 et ACST/16/2021 précités), à l’instar du Tribunal fédéral s’agissant d’une</w:t>
      </w:r>
    </w:p>
    <w:p>
      <w:r>
        <w:t>- 19/22 -</w:t>
      </w:r>
    </w:p>
    <w:p>
      <w:r>
        <w:t>A/1812/2021</w:t>
      </w:r>
    </w:p>
    <w:p>
      <w:r>
        <w:t>réglementation similaire (ATF 143 I 403), a déjà jugé que le salaire minimum institué par la novelle résultant de l’IN 173, de CHF 23.- de l’heure, ne constituait pas une mesure de politique économique et était conforme à la liberté économique, tant dans sa dimension individuelle qu’institutionnelle. En effet, les objectifs poursuivis par la LIRT relèvent de la politique sociale et les mesures qu’elle consacrent s’insèrent dans la législation protectrice de droit public que les cantons demeurent autorisés à adopter, et ce malgré les dispositions du droit fédéral en matière de droit du travail (ATF 143 I 403 consid. 7.5.3). L’application d’un contrat individuel de travail, d’une CCT ou d’un contrat-type de travail ne fait en outre pas obstacle à ce qu’une limite salariale en-deçà de laquelle l’employé ne saurait être rémunéré soit définie, ce qui ne contrevient pas non plus au droit fédéral (ATF 143 I 403 consid. 7.7). Il n’en va pas différemment de l’échéance de paiement prévue par la disposition litigieuse, qui se limite à mettre en œuvre la LIRT afin de s’assurer que ledit salaire minimum soit effectivement payé mensuellement aux employés afin d’atteindre les buts mentionnés à l’art. 1 al. 4 LIRT.</w:t>
      </w:r>
    </w:p>
    <w:p>
      <w:r>
        <w:t>Des exceptions demeurent possibles, comme le retient la disposition litigieuse en lien avec le 13e salaire, et rien n’empêche les employeurs, comme l’a indiqué le Conseil d’État, de différer la part relative au salaire dépassant le salaire minimum institué par la LIRT.</w:t>
      </w:r>
    </w:p>
    <w:p>
      <w:r>
        <w:t>S’agissant, enfin, de la violation alléguée de la LAVS, elle se révèle également infondée, pour les raisons précédemment évoquées. Le grief en lien avec la primauté du droit fédéral sera par conséquent également écarté. 10) Les recourantes se plaignent de ce que l’art. 56F al. 2 RIRT emporterait une inégalité de traitement, serait arbitraire et contraire au principe de la proportionnalité.</w:t>
      </w:r>
    </w:p>
    <w:p>
      <w:r>
        <w:t>a.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143 I 361 consid. 5.1 ; arrêt du Tribunal fédéral 2C_827/2018 du 21 mars 2019 consid. 6.1). Un acte normatif viole le principe de l’interdiction de l’arbitraire (art. 9 Cst.) s’il ne repose pas sur des motifs objectifs sérieux ou s’il est dépourvu de sens et de but (arrêt du Tribunal fédéral 2C_327/2018 du 16 décembre 2019 consid. 7.1). Le législateur dispose d’un large pouvoir d’appréciation dans le cadre de ces principes (ATF 145 I 73 consid. 5.1).</w:t>
      </w:r>
    </w:p>
    <w:p>
      <w:r>
        <w:t>- 20/22 -</w:t>
      </w:r>
    </w:p>
    <w:p>
      <w:r>
        <w:t>A/1812/2021</w:t>
      </w:r>
    </w:p>
    <w:p>
      <w:r>
        <w:t>b.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 ; arrêt du Tribunal fédéral 2C_360/2019 du 15 janvier 2020 consid. 3.5).</w:t>
      </w:r>
    </w:p>
    <w:p>
      <w:r>
        <w:t>c. En l’espèce, s’il est vrai que la disposition litigieuse traite de la même façon des situations différentes, il n’en demeure pas moins qu’elle constitue le prolongement du salaire minimum de CHF 23.- issu de l’IN 173, qui s’applique à l’ensemble des relations de travail des travailleurs accomplissant habituellement leur travail dans le canton (art. 39I LIRT) et à tous les secteurs économiques, hormis les dérogations et exceptions limitativement prévues par la loi (art. 39J et 39K al. 2 LIRT). Or, le montant permettant de vivre décemment dans le canton, comme l’échéance de paiement de ce montant, ne diffère pas d’un secteur économique à l’autre, si bien que le traitement identique que l’art. 56F al. 2 LIRT réserve à l’ensemble des salariés concernés se justifie pleinement, étant rappelé que les employeurs disposent de la possibilité de différer le paiement d’une partie du salaire dépassant le salaire minimum. Dans ce sens, la disposition litigieuse respecte également le principe de la proportionnalité, puisqu’elle permet non seulement de différer le paiement du 13e salaire, mais également celui de la part dépassant le salaire minimum. L’on ne voit au demeurant pas quelle autre mesure aurait permis d’atteindre l’objectif sous-tendu par l’instauration du salaire minimum, rappelé à l’art. 1 al. 4 LIRT, qu’un paiement différé en fin d’année aurait rendu vain. L’intérêt public consistant à lutter contre la pauvreté et à offrir des conditions de vie décente aux travailleurs à Genève, et cela chaque mois, l’emporte ainsi sur l’intérêt privé des employeurs à différer le paiement du salaire minimum. C’est également en vain que les recourantes se prévalent de l’interdiction de l’arbitraire au regard des objectifs sur lesquels la mesure repose ainsi que de son sens et de son but, pleinement justifiés, comme précédemment exposé.</w:t>
      </w:r>
    </w:p>
    <w:p>
      <w:r>
        <w:t>Entièrement mal fondé, le recours sera par conséquent rejeté. 11) Vu l’issue du litige, un émolument de CHF 1'500.-, qui comprend la décision sur effet suspensif, sera mis à la charge solidaire des recourantes, qui succombent (art. 87 al. 1 LPA), et aucune indemnité de procédure ne sera accordée (art. 87 al. 2 LPA).</w:t>
      </w:r>
    </w:p>
    <w:p>
      <w:r>
        <w:t>* * * * *</w:t>
      </w:r>
    </w:p>
    <w:p>
      <w:r>
        <w:t>- 21/22 -</w:t>
      </w:r>
    </w:p>
    <w:p>
      <w:r>
        <w:t>A/1812/2021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