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ACST/31/2021 vom 22. Juli 2021</w:t>
      </w:r>
    </w:p>
    <w:p>
      <w:r>
        <w:t>GE Cour de justice, 2021-07-22, FR</w:t>
      </w:r>
    </w:p>
    <w:p>
      <w:r>
        <w:rPr>
          <w:b/>
        </w:rPr>
        <w:t xml:space="preserve">Quelle: </w:t>
      </w:r>
      <w:r>
        <w:t>https://mcp.opencaselaw.ch/entscheid/ge_gerichte_ACST_31_2021</w:t>
      </w:r>
    </w:p>
    <w:p>
      <w:r>
        <w:t>FR: GE_GERICHTE ACST/31/2021 du 22 juillet 2021</w:t>
      </w:r>
    </w:p>
    <w:p>
      <w:r>
        <w:t>IT: GE_GERICHTE ACST/31/2021 del 22 luglio 2021</w:t>
      </w:r>
    </w:p>
    <w:p>
      <w:pPr>
        <w:pStyle w:val="Heading2"/>
      </w:pPr>
      <w:r>
        <w:t>Erwägungen</w:t>
      </w:r>
    </w:p>
    <w:p>
      <w:r>
        <w:rPr>
          <w:b/>
        </w:rPr>
        <w:t>E. 12</w:t>
      </w:r>
    </w:p>
    <w:p>
      <w:r>
        <w:t>septembre 1985 (LPA - E 5 10), applicable aux juridictions administratives cantonales dont fait partie la chambre constitutionnelle (art. 1 et 6 al. 1 let. b LPA),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w:t>
      </w:r>
    </w:p>
    <w:p>
      <w:r>
        <w:t>b. En vertu de l’art. 81 LPA, la demande de révision doit être adressée par écrit à la juridiction qui a rendu la décision dans les trois mois dès la découverte du motif de révision (al. 1) et au plus tard dans les dix ans à compter de la</w:t>
      </w:r>
    </w:p>
    <w:p>
      <w:r>
        <w:t>- 4/6 -</w:t>
      </w:r>
    </w:p>
    <w:p>
      <w:r>
        <w:t>A/2335/2021</w:t>
      </w:r>
    </w:p>
    <w:p>
      <w:r>
        <w:t>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t>c.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(ATA/478/2021 du 4 mai 2021 consid. 2b et les références citées).</w:t>
      </w:r>
    </w:p>
    <w:p>
      <w:r>
        <w:t>d. Lorsqu’aucune condition de l’art. 80 LPA n’est remplie, la demande est déclarée irrecevable (ACST/24/2021 du 27 mai 2021 consid. 1d). 2)</w:t>
      </w:r>
    </w:p>
    <w:p>
      <w:r>
        <w:t>En l’espèce, la demanderesse se limite à solliciter la révision de l’arrêt ACST/14/2021, sans invoquer aucun motif de révision, son acte du 7 juin 2021, qu’elle n’a pas ultérieurement complété, ne contenant pas non plus de conclusions.</w:t>
      </w:r>
    </w:p>
    <w:p>
      <w:r>
        <w:t>L’intéressée s’est ainsi contentée d’indiquer que l’arrêt dont elle demandait la révision avait été rendu avant qu’il ne soit statué sur le sort de sa demande d’assistance juridique, ce qui pourrait, tout au plus, constituer un motif de révision au sens des let. b et c de l’art. 80 LPA.</w:t>
      </w:r>
    </w:p>
    <w:p>
      <w:r>
        <w:t>Tel n’est toutefois pas le cas. L’on ne voit en particulier pas en quoi la décision en matière d’assistance juridique aurait constitué un fait ou un moyen de preuve nouveau et important qu’elle ne pouvait pas connaître ou invoquer dans la procédure précédente, ce qu’elle n’allègue du reste pas. L’on ne saurait pas davantage y voir un fait invoqué et établi par pièce, qui n’aurait pas été pris en compte, par inadvertance, par la chambre de céans, dès lors que le refus ou l’octroi de l’assistance juridique était sans incidence sur l’issue du litige, en l’absence de toute compétence de la chambre constitutionnelle pour connaître de son recours dans la cause n° A/935/2021. En particulier, cet élément n’aurait pas conduit à une décision différente de celle qui a été prise, puisque la compétence de la chambre de céans, d’attribution, est limitée aux domaines prévus par les art. 124 de la Constitution de la République et canton de Genève du</w:t>
      </w:r>
    </w:p>
    <w:p>
      <w:r>
        <w:rPr>
          <w:b/>
        </w:rPr>
        <w:t>E. 14</w:t>
      </w:r>
    </w:p>
    <w:p>
      <w:r>
        <w:t>octobre 2012 (Cst-GE - A 2 00) et 130B de la loi sur l’organisation judiciaire du 26 septembre 2010 - LOJ - E 2 05.</w:t>
      </w:r>
    </w:p>
    <w:p>
      <w:r>
        <w:t>Au vu de ce qui précède, il ne sera pas entré en matière sur la demande de révision de la demanderesse, qui sera par conséquent déclarée irrecevable, sans que l’ouverture d’une instruction à ce sujet soit nécessaire (art. 72 LPA).</w:t>
      </w:r>
    </w:p>
    <w:p>
      <w:r>
        <w:t>- 5/6 -</w:t>
      </w:r>
    </w:p>
    <w:p>
      <w:r>
        <w:t>A/2335/2021</w:t>
      </w:r>
    </w:p>
    <w:p>
      <w:r>
        <w:t>3)</w:t>
      </w:r>
    </w:p>
    <w:p>
      <w:r>
        <w:t>Vu l’issue du litige, un émolument de CHF 500.- sera mis à la charge de la demanderesse,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