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ACST/2/2015 vom 6. Februar 2015</w:t>
      </w:r>
    </w:p>
    <w:p>
      <w:r>
        <w:t>GE Cour de justice, 2015-02-06, FR</w:t>
      </w:r>
    </w:p>
    <w:p>
      <w:r>
        <w:rPr>
          <w:b/>
        </w:rPr>
        <w:t xml:space="preserve">Quelle: </w:t>
      </w:r>
      <w:r>
        <w:t>https://mcp.opencaselaw.ch/entscheid/ge_gerichte_ACST_2_2015</w:t>
      </w:r>
    </w:p>
    <w:p>
      <w:r>
        <w:t>FR: GE_GERICHTE ACST/2/2015 du 6 février 2015</w:t>
      </w:r>
    </w:p>
    <w:p>
      <w:r>
        <w:t>IT: GE_GERICHTE ACST/2/2015 del 6 febbraio 2015</w:t>
      </w:r>
    </w:p>
    <w:p>
      <w:pPr>
        <w:pStyle w:val="Heading2"/>
      </w:pPr>
      <w:r>
        <w:t>Erwägungen</w:t>
      </w:r>
    </w:p>
    <w:p>
      <w:r>
        <w:rPr>
          <w:b/>
        </w:rPr>
        <w:t>E. 1</w:t>
      </w:r>
    </w:p>
    <w:p>
      <w:r>
        <w:t>Si un second tour de scrutin est nécessaire pour compléter l'élection, il a lieu dans les 4 semaines suivant le premier tour.</w:t>
      </w:r>
    </w:p>
    <w:p>
      <w:r>
        <w:rPr>
          <w:b/>
        </w:rPr>
        <w:t>E. 2</w:t>
      </w:r>
    </w:p>
    <w:p>
      <w:r>
        <w:t>Dans ce second tour, seuls peuvent déposer une liste les partis politiques, autres associations ou groupements qui ont participé au premier tour. 8)</w:t>
      </w:r>
    </w:p>
    <w:p>
      <w:r>
        <w:t>Le texte actuel de l'art. 100 al. 2 LEDP est donc le même que celui en vigueur entre le 1er janvier 1995 et le 6 septembre 2014. 9)</w:t>
      </w:r>
    </w:p>
    <w:p>
      <w:r>
        <w:t>Par acte déposé le 20 janvier 2015, l'Union démocratique du centre, Genève (ci-après : UDC-GE) et Monsieur A______ ont interjeté recours auprès de la chambre constitutionnelle de la Cour de justice (ci-après : la chambre constitutionnelle) contre la loi 11256, concluant préalablement à l'octroi de l'effet suspensif au recours, principalement à l'annulation de la loi 11256 et à la condamnation de la partie intimée « en tous les frais et dépens ».</w:t>
      </w:r>
    </w:p>
    <w:p>
      <w:r>
        <w:t>La conclusion en octroi de l'effet suspensif ne faisait l'objet d'aucune motivation.</w:t>
      </w:r>
    </w:p>
    <w:p>
      <w:r>
        <w:t>Sur le fond, l'adoption de la Cst-GE avait rendu nécessaire de réglementer l'« entre-deux-tours », le deuxième tour passant du statut d'exception à celui de règle</w:t>
      </w:r>
    </w:p>
    <w:p>
      <w:r>
        <w:t>- 4/6 -</w:t>
      </w:r>
    </w:p>
    <w:p>
      <w:r>
        <w:t>pour les scrutins majoritaires, parmi lesquelles les élections au Conseil d'État et les élections municipales.</w:t>
      </w:r>
    </w:p>
    <w:p>
      <w:r>
        <w:t>Le changement entre les deux tours des alliances éventuellement conclues en vue du premier tour avait diverses conséquences fâcheuses. Elles travestissaient en particulier la volonté exprimée par les électeurs lors du premier tour, et permettaient aux partis concernés, unilatéralement, de modifier le poids des suffrages de chaque électeur. C'était justement parce que le changement d'alliances entre deux tours était pernicieux que l'art. 100 LEDP avait été modifié par la loi 11389. L'abrogation de cette modification après trois mois seulement en paraissait d'autant plus incongrue et choquante. 10) Le 2 février 2015, le Conseil d'État a fourni certains renseignements concernant les contingences liées à l'organisation du second tour, en particulier l'échéancier opérationnel complet des élections municipales. 11) Le 3 février 2015, le Grand Conseil a conclu au rejet de la demande d'effet suspensif.</w:t>
      </w:r>
    </w:p>
    <w:p>
      <w:r>
        <w:t>La loi ne prévoyait l'octroi de l'effet suspensif contre une loi qu'à titre d'exception. Le recours ne contenait aucune motivation quant à l'effet suspensif, ce qui rendait cette demande irrecevable. Au surplus, le processus législatif avait été parfaitement régulier. La modification attaquée n'avait qu'une portée très limitée et ne pouvait porter atteinte aux intérêts de l'UDC-GE et de M. A______ ; elle ne trompait enfin pas les électeurs, mais permettait au contraire à ceux-ci de se déterminer en pleine connaissance de cause sur les choix faits par les candidats. 12) Sur ce, la cause a été gardée à juger sur effet suspensif. Considérant, en droit, que : 1)</w:t>
      </w:r>
    </w:p>
    <w:p>
      <w:r>
        <w:t>La question de la recevabilité du recours sera en l'état réservée, et son examen reporté à l'arrêt au fond.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3)</w:t>
      </w:r>
    </w:p>
    <w:p>
      <w:r>
        <w:t>Les décisions sur mesures provisionnelles, y compris sur effet suspensif, de même que les décisions d’organisation de la procédure sont prises par le président ou le vice-président ou, en cas d’urgence, par un autre juge de la chambre constitutionnelle (art. 7 du règlement de la chambre constitutionnelle, du 20 octobre 2014).</w:t>
      </w:r>
    </w:p>
    <w:p>
      <w:r>
        <w:t>- 5/6 -</w:t>
      </w:r>
    </w:p>
    <w:p>
      <w:r>
        <w:t>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6)</w:t>
      </w:r>
    </w:p>
    <w:p>
      <w:r>
        <w:t>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7)</w:t>
      </w:r>
    </w:p>
    <w:p>
      <w:r>
        <w:t>En l'espèce, la condition de l'urgence n'est pas remplie. En effet, le premier cas d'application à venir de l'art. 100 al. 2 LEDP aura trait à l'« entre deux tours » des élections municipales, dont l'issue du premier tour sera connue le 19 avril 2015. Dans la mesure où, à vues humaines, le prononcé de l'arrêt au fond de la chambre de céans interviendra en principe avant fin mars 2015, il ne se justifie pas d'octroyer l'effet suspensif dans l'intervalle. 8)</w:t>
      </w:r>
    </w:p>
    <w:p>
      <w:r>
        <w:t>Dans l'hypothèse toutefois où l'instruction du présent recours devrait par extraordinaire se prolonger, les recourants auront loisir de déposer une nouvelle</w:t>
      </w:r>
    </w:p>
    <w:p>
      <w:r>
        <w:t>- 6/6 -</w:t>
      </w:r>
    </w:p>
    <w:p>
      <w:r>
        <w:t>demande de restitution de l'effet suspensif, sur laquelle la chambre de céans statuera en fonction des circonstances prévalant à ce moment-là. 9)</w:t>
      </w:r>
    </w:p>
    <w:p>
      <w:r>
        <w:t>Tout comme la recevabilité du recours, le sort des frais et indemnités sera réservé jusqu'à droit jugé sur le recours. Vu l’art. 66 al. 2 et 3 de la loi sur la procédure administrative du 12 septembre 1985 (LPA - E 5 10) ; vu l'art. 7 du règlement de la chambre constitutionnelle, du 20 octobre 2014 ;</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l'Union démocratique du centre, Genève (UDC-GE), à Monsieur A______ ainsi qu'au Grand Conseil et, pour information, 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