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ACST/26/2021 vom 27. Mai 2021</w:t>
      </w:r>
    </w:p>
    <w:p>
      <w:r>
        <w:t>GE Cour de justice, 2021-05-27, FR</w:t>
      </w:r>
    </w:p>
    <w:p>
      <w:r>
        <w:rPr>
          <w:b/>
        </w:rPr>
        <w:t xml:space="preserve">Quelle: </w:t>
      </w:r>
      <w:r>
        <w:t>https://mcp.opencaselaw.ch/entscheid/ge_gerichte_ACST_26_2021</w:t>
      </w:r>
    </w:p>
    <w:p>
      <w:r>
        <w:t>FR: GE_GERICHTE ACST/26/2021 du 27 mai 2021</w:t>
      </w:r>
    </w:p>
    <w:p>
      <w:r>
        <w:t>IT: GE_GERICHTE ACST/26/2021 del 27 maggio 2021</w:t>
      </w:r>
    </w:p>
    <w:p>
      <w:pPr>
        <w:pStyle w:val="Heading2"/>
      </w:pPr>
      <w:r>
        <w:t>Erwägungen</w:t>
      </w:r>
    </w:p>
    <w:p>
      <w:r>
        <w:rPr>
          <w:b/>
        </w:rPr>
        <w:t>E. 1</w:t>
      </w:r>
    </w:p>
    <w:p>
      <w:r>
        <w:t>Le projet de plan localisé de uartier est élaboré par le département de sa propre initiative ou sur demande du Conseil d’État ou d’une commune ou des propriétaires concernés ;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w:t>
      </w:r>
    </w:p>
    <w:p>
      <w:r>
        <w:rPr>
          <w:b/>
        </w:rPr>
        <w:t>E. 5</w:t>
      </w:r>
    </w:p>
    <w:p>
      <w:r>
        <w:t>F h</w:t>
      </w:r>
    </w:p>
    <w:p>
      <w:r>
        <w:rPr>
          <w:b/>
        </w:rPr>
        <w:t>E. 6</w:t>
      </w:r>
    </w:p>
    <w:p>
      <w:r>
        <w:t>commune et/</w:t>
      </w:r>
    </w:p>
    <w:p>
      <w:r>
        <w:t>publique sera reprise et ce plan sera retenu par le département.</w:t>
      </w:r>
    </w:p>
    <w:p>
      <w:r>
        <w:rPr>
          <w:b/>
        </w:rPr>
        <w:t>E. 7</w:t>
      </w:r>
    </w:p>
    <w:p>
      <w:r>
        <w:t>L’enquête publi ue et l’avis aux propriétaires visés aux alinéas 1 et 2 sont</w:t>
      </w:r>
    </w:p>
    <w:p>
      <w:r>
        <w:t>- 3/8 - A/946/2021 toutefois facultatifs en cas d’accord de tous les propriétaires concernés et lors ue le périmètre du projet de plan localisé de uartier est compris dans celui d’un plan directeur de quartier en force depuis moins de 10 ans. En l’absence d’en u te publi ue, le département transmet la commune le projet de plan pour u’il soit porté l’ordre du jour du Conseil municipal L’autorité municipale doit alors communi uer son préavis dans un délai de 4 jours compter de la réception du projet de plan. Son silence vaut approbation sans réserve. M f ’</w:t>
      </w:r>
    </w:p>
    <w:p>
      <w:r>
        <w:rPr>
          <w:b/>
        </w:rPr>
        <w:t>E. 9</w:t>
      </w:r>
    </w:p>
    <w:p>
      <w:r>
        <w:t>mars 2021 consid. 1b et les références citées).</w:t>
      </w:r>
    </w:p>
    <w:p>
      <w:r>
        <w:t>c. Ce dernier but est reconnu par la jurisprudence du Tribunal fédéral (arrêt du Tribunal fédéral 1C_134/2010 du 28 septembre 2010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w:t>
      </w:r>
    </w:p>
    <w:p>
      <w:r>
        <w:t>Par ailleurs, il n’existe pas de droit à être appelé en cause (ATF 131 V 133 consid. 13). 3. a. elon l’art 60 al 1 LPA, ont ualité pour recourir non seulement les parties la procédure qui a abouti à la décision attaquée (let. a), mais aussi toute personne qui est touchée directement par une loi constitutionnelle, une loi, un règlement du Conseil d’État ou une décision et a un intérêt personnel digne de protection à ce u’elle soit annulée ou modifiée (let b)</w:t>
      </w:r>
    </w:p>
    <w:p>
      <w:r>
        <w:t>b. La jurisprudence a précisé que les let. a et b de la disposition précitée doivent se lire en parallèle : ainsi, le particulier qui ne peut faire valoir un intérêt digne de protection ne saurait tre admis comme partie recourante, m me s’il était partie la procédure de première instance (ATA/139/2021 du 9 février 2021 consid. 2b et les références citées) L’exemple le plus évident concerne la partie la procédure ui a obtenu le plein de ses conclusions au stade antérieur de la procédure, et n’est dès lors pas lésée par la décision ou le jugement de première instance (ATA/1352/2020 du 22 décembre 2020 consid. 3b).</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w:t>
      </w:r>
    </w:p>
    <w:p>
      <w:r>
        <w:t>- 6/8 - A/946/2021 mesure et avec une intensité plus grandes que la généralité des administrés. Le recours d’un particulier formé dans l’intérêt général ou dans l’intérêt d’un tiers est exclu. Cette exigence a été posée de manière à éviter l’action populaire (ATF 139 II 499 consid. 2.2 ; arrêt du Tribunal fédéral 1C_442/2020 du 4 mars 2021 consid. 1.2.1).</w:t>
      </w:r>
    </w:p>
    <w:p>
      <w:r>
        <w:t>c. La qualité pour recourir est par ailleurs reconnue, dans les recours pour violation des droits politiques, à toute personne physique ayant le droit de vote dans l’affaire en cause, aux partis politiques – pour autant u’ils soient constitués en personnes morales, exercent leurs activités dans la collectivité publique concernée par la votation populaire en cause et recrutent leurs membres principalement en fonction de leur ualité d’électeurs –, ainsi u’aux organisations caractère politi ue formées en vue d’une action précise comme le lancement d’une initiative ou d’un référendum, indépendamment du point de savoir s’ils ont un intérêt personnel à l’annulation ou la modification de l’acte attaqué (ACST/12/2021 du 15 avril 2021 consid. 1c ; ACST/10/2021 du 23 mars 2021 consid. 2a ; Stéphane GRODECKI / Romain JORDAN, Code annoté de procédure administrative genevoise, 2017, n. 735). 4.</w:t>
      </w:r>
    </w:p>
    <w:p>
      <w:r>
        <w:t>En l’espèce, contrairement à ce qu’ils allèguent, les requérants ne possèdent pas la qualité pour recourir contre l’acte attaqué. Certes, ladite qualité pour recourir est, comme exposé ci-dessus, ouverte à toute personne physique ayant le droit de vote dans l’affaire en cause, ce qui est le cas ici de M. A______, autre étant au demeurant la question de la qualité pour recourir de B______ (ACST/1/2018 du 2 mars 2018 consid. 2c), qui peut toutefois souffrir de rester indécise. L’absence, en matière de droits politiques, de l’exigence d’un intérêt personnel à recourir doit être comprise comme l’expression d’une présomption que les citoyens et les entités assimilées sont réputés, ès qualités, être titulaires d’un intérêt à contester des actes affectant les droits politiques, mais non comme l’admission qu’ils peuvent recourir, respectivement « intervenir » ou exiger d’être appelés en cause, pour défendre des actes qu’ils approuvent. Tel est le cas de l’arr té contesté par le comité, le uel a interjeté recours l’encontre de la seule invalidation, par le Conseil d’État, de l’art 5A al. 5 LGZD projeté, comme il était habilité à le faire. Les requérants ne pouvaient ainsi pas interjeter recours contre l’invalidation de ladite disposition, puis u’elle va intégralement dans leur sens, comme il ressort de leurs conclusions dans la cause n° A/945/2021.</w:t>
      </w:r>
    </w:p>
    <w:p>
      <w:r>
        <w:t>En outre, admettre l’appel en cause des re uérants ne trouverait aucune justification dans les buts classi ues de l’institution de l’appel en cause, tels ue rappelés plus haut ; en tant que citoyen appelé voter, l’arr t de la chambre de céans sera de toute façon « opposable » à M. A______ (et, s’il lui était défavorable, il regagnerait l’intér t recourir son encontre, sans préjudice des autres conditions de recevabilité des recours au Tribunal fédéral), et l’on ne saurait admettre u’il y ait lieu de sauvegarder son droit d’ tre entendu du fait u’il n’ait pas participé</w:t>
      </w:r>
    </w:p>
    <w:p>
      <w:r>
        <w:t>- 7/8 - A/946/2021 l’instance précédente Comme l’a déj jugé la chambre de céans (ACST/25/2019 du 7 août 2019 consid ), l’admission d’une telle requête aurait par contre pour effet, d’une part, de permettre des tiers d’obtenir des droits plus étendus ue ceux donnés aux personnes auxquelles la qualité pour agir est reconnue, ce qui prohibé par la jurisprudence, et, d’autre part, de conférer aux re uérants un statut d’« amicus curiae », institution qui est connue de certains tribunaux internationaux (en particulier la Cour européenne des droits de l’Homme, sur la base de l’art 36 § 2 de la Convention de sauvegarde des droits de l’homme et des libertés fondamentales du 4 novembre 1950 - CEDH - RS 0.101, tel u’interprété par la jurisprudence), mais non de la procédure administrative genevoise.</w:t>
      </w:r>
    </w:p>
    <w:p>
      <w:r>
        <w:t>Il s’ensuit ue la demande d’appel en cause sera refusée 5.</w:t>
      </w:r>
    </w:p>
    <w:p>
      <w:r>
        <w:t>Vu l’issue de la requête, un émolument de CHF 500.- sera mis à la charge solidaire des requérants, qui succombent (art. 87 al. 1 LPA), et aucune indemnité de procédure ne sera allouée sur appel en cause (art. 87 al. 2 LPA). Le sort des frais de la procédure sera pour le surplus réservé jusqu'à l’issue de celle-ci.</w:t>
      </w:r>
    </w:p>
    <w:p>
      <w:r>
        <w:t>LA CHAMBRE CONSTITUTIONNELLE refuse l’appel en cause de Monsieur A______ et l’Association B______ ; met à la charge solidaire de Monsieur A______ et l’Association B______ un émolument de CHF 500.- ; dit qu’il n’est pas alloué d’indemnité de procédure sur appel en cause, et réserve pour le surplus le sort des frais de la cause jusqu’à l’issue de celle-ci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tre jointes l’envoi ; communique la présente décision, en copie, à Me François Bellanger, avocat des re uérants, Me Tobias Zellweger, avocat du recourant, ainsi u’au Conseil d’État.</w:t>
      </w:r>
    </w:p>
    <w:p>
      <w:r>
        <w:t>Au nom de la chambre constitutionnelle :</w:t>
      </w:r>
    </w:p>
    <w:p>
      <w:r>
        <w:t>- 8/8 - A/946/2021 la greffière :</w:t>
      </w:r>
    </w:p>
    <w:p>
      <w:r>
        <w:t>M. Niermaréchal</w:t>
      </w:r>
    </w:p>
    <w:p>
      <w:r>
        <w:t>le juge délégué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