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ACST/24/2020 vom 4. August 2020</w:t>
      </w:r>
    </w:p>
    <w:p>
      <w:r>
        <w:t>GE Cour de justice, 2020-08-04, FR</w:t>
      </w:r>
    </w:p>
    <w:p>
      <w:r>
        <w:rPr>
          <w:b/>
        </w:rPr>
        <w:t xml:space="preserve">Quelle: </w:t>
      </w:r>
      <w:r>
        <w:t>https://mcp.opencaselaw.ch/entscheid/ge_gerichte_ACST_24_2020</w:t>
      </w:r>
    </w:p>
    <w:p>
      <w:r>
        <w:t>FR: GE_GERICHTE ACST/24/2020 du 4 août 2020</w:t>
      </w:r>
    </w:p>
    <w:p>
      <w:r>
        <w:t>IT: GE_GERICHTE ACST/24/2020 del 4 agosto 2020</w:t>
      </w:r>
    </w:p>
    <w:p>
      <w:pPr>
        <w:pStyle w:val="Heading2"/>
      </w:pPr>
      <w:r>
        <w:t>Erwägungen</w:t>
      </w:r>
    </w:p>
    <w:p>
      <w:r>
        <w:rPr>
          <w:b/>
        </w:rPr>
        <w:t>E. 5</w:t>
      </w:r>
    </w:p>
    <w:p>
      <w:r>
        <w:t>juillet 2016 consid. 4b). Dans le prolongement de ce dernier argument, elle a admis comme attaquable un arrêté du Conseil d'État contenant des règles de droit, et qui aurait dû être pris sous la forme d'un règlement (ACST/6/2017 du 19 mai 2017 consid. 1d).</w:t>
      </w:r>
    </w:p>
    <w:p>
      <w:r>
        <w:t>d. Le délai de recours est de trente jours s’il s’agit d’une loi constitutionnelle, d’une loi ou d’un règlement du Conseil d’État (art. 62 al. 1 let. d LPA). Pour une loi, le délai court dès le lendemain de la (publication de l'arrêté de) promulgation (art. 62 al. 3 2ème phr. LPA), cette dernière notion renvoyant aux art. 11 à 14 de la loi sur la forme, la publication et la promulgation des actes officiels du</w:t>
      </w:r>
    </w:p>
    <w:p>
      <w:r>
        <w:rPr>
          <w:b/>
        </w:rPr>
        <w:t>E. 8</w:t>
      </w:r>
    </w:p>
    <w:p>
      <w:r>
        <w:t>décembre 1956 (LFPP - B 2 05 ; ACST/2/2016 du 12 février 2016 consid. 4a).</w:t>
      </w:r>
    </w:p>
    <w:p>
      <w:r>
        <w:t>Les initiatives populaires, les contreprojets, les lois constitutionnelles et les lois sont transmis par le président du Grand Conseil au Conseil d’État pour être publiés (art. 8 al. 1 LFPP). La publication a lieu sans retard dans la FAO ; le texte entier doit être publié (art. 8 al. 2 LFPP). Lors de la publication de la loi, le Conseil d'État détermine le type de référendum applicable (art. 8 al. 3 LFPP). Sous réserve de l’art. 9 LFPP (actes munis de la clause d'urgence), ces actes ne peuvent être promulgués qu’après avoir été publiés (art. 8 al. 7 LFPP).</w:t>
      </w:r>
    </w:p>
    <w:p>
      <w:r>
        <w:t>S'agissant de la promulgation des lois, le Conseil d’État doit promulguer, par voie d’arrêtés, les lois constitutionnelles et les lois régulièrement adoptées par le corps électoral ou par le Grand Conseil (art. 11 LFPP). Les lois soumises au référendum sont promulguées dans le plus bref délai après l’échéance fixée pour l’exercice de ce droit (art. 12 al. 2 1ère phr. LFPP). L’arrêté de promulgation est publié sans retard dans la FAO (art. 13 al. 1 LFPP). La publication est limitée au</w:t>
      </w:r>
    </w:p>
    <w:p>
      <w:r>
        <w:t>- 5/8 - A/2043/2020 seul arrêté de promulgation, sauf notamment en cas de promulgation de lois modifiant des limites de zones (art. 13 al. 3 let. b LFPP). Les lois constitutionnelles et les lois sont exécutoires dans tout le canton dès le lendemain de la publication de l’arrêté de promulgation (art. 14 al. 1 LFPP). 3) a. Selon l’art. 124 let. b Cst-GE, la Cour constitutionnelle – à savoir la chambre constitutionnelle (art. 1 let. h ch. 3 1er tiret LOJ) – est également compétente pour traiter les litiges relatifs à l’exercice des droits politiques en matière cantonale et communale.</w:t>
      </w:r>
    </w:p>
    <w:p>
      <w:r>
        <w:t>Concrétisant cette norme constitutionnelle par le biais de la loi 11311 du</w:t>
      </w:r>
    </w:p>
    <w:p>
      <w:r>
        <w:rPr>
          <w:b/>
        </w:rPr>
        <w:t>E. 11</w:t>
      </w:r>
    </w:p>
    <w:p>
      <w:r>
        <w:t>avril 2014 mettant en œuvre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de la loi sur l’exercice des droits politiques du 15 octobre 1982 (LEDP - A 5 05), la compétence qu’avait jusqu’alors la chambre administrative de connaître des recours ouverts contre les violations de la procédure des opérations électorales indépendamment de l’existence d’une décision (art. 180 aLEDP ; ACST/23/2018 du 9 novembre 2018 consid. 2 et les références citées).</w:t>
      </w:r>
    </w:p>
    <w:p>
      <w:r>
        <w:t>Comme le Tribunal administratif puis la chambre administrative et enfin la chambre de céans l’ont jugé à maintes reprises, entre dans le cadre des opérations électorales au sens de l’art. 180 LEDP tout acte destiné aux électeurs de nature à influencer la libre formation du droit de vote telle qu’elle est garantie par les art. 34 al. 2 de la Constitution fédérale de la Confédération suisse du 18 avril 1999 (Cst. - RS 101) et 44 Cst-GE (ACST/30/2019 du 17 octobre 2019 consid.1a ; ACST/10/2015 du 11 mai 2015 et la jurisprudence citée). Le respect de la procédure en matière électorale fait notamment partie de la liberté de vote (ATF 140 I 394 consid. 8.2 ; arrêt du Tribunal fédéral 1C_136/2014 du 22 juillet 2014 consid. 5.1).</w:t>
      </w:r>
    </w:p>
    <w:p>
      <w:r>
        <w:t>b. En matière de votations et d'élections, le délai de recours est de six jours (art. 62 al. 1 let. c LPA). 4)</w:t>
      </w:r>
    </w:p>
    <w:p>
      <w:r>
        <w:t>La qualité pour recourir est reconnue, pour les recours pour violation des droits politiques, notamment à toute personne physique ayant le droit de vote dans l’affaire en cause (ACST/7/2019 du 11 mars 2019 consid. 2c ; ACST/8/2016 du 3 juin 2016 consid. 3a). Pour les recours en contrôle abstrait des normes, elle l’est notamment à toute personne touchée directement par l’acte normatif attaqué (art. 60 al. 1 let. b LPA), de manière actuelle ou virtuelle. L’élargissement de la qualité pour recourir propre au recours en matière de votations et d’élections vaut aussi pour le recours en contrôle abstrait des normes dans la mesure où l’acte normatif attaqué relève du domaine des droits politiques et où les recourants</w:t>
      </w:r>
    </w:p>
    <w:p>
      <w:r>
        <w:t>- 6/8 - A/2043/2020 soulèvent à son encontre le grief de violation des droits politiques (ACST/15/2019 du 25 mars 2019 consid. 2d ; ACST/3/2017 du 23 février 2017 consid. 3a ; ACST/1/2015 du 23 janvier 2015 consid. 3c). 5) a. Par ailleurs, selon l'art. 35 de la loi d'application de la loi fédérale sur l'aménagement du territoire, du 4 juin 1987 (LaLAT - L 1 30), la décision par laquelle le Grand Conseil adopte un plan d'affectation du sol visé à l'art. 12 LaLAT peut fait l'objet d'un recours à la chambre administrative (al. 1). Le délai pour recourir est de trente jours dès la publication de l'arrêté de promulgation de la loi (al. 2). Le recours n'est par ailleurs recevable que si la voie de l'opposition a été préalablement épuisée (al. 4). La LPA est applicable pour le surplus (al. 5).</w:t>
      </w:r>
    </w:p>
    <w:p>
      <w:r>
        <w:t>b. Selon la jurisprudence cantonale constante, une loi de modification des limites de zones constitue un plan d'affectation au sens de l'art. 12 LaLAT, et peut donc être attaquée dans son ensemble devant la chambre administrative (ATA/660//2018 du 26 juin 2018 consid. 1 et 2 ; ATA/197/2014 du 1er avril 2014 consid. 2 et 3 ; ATA/712/2013 du 29 octobre 2013 consid. 1). Le Tribunal fédéral considère également la modification des limites de zones selon la procédure en vigueur à Genève comme un plan d'affectation au sens des art. 14 ss et 33 de la loi fédérale sur l’aménagement du territoire du 22 juin 1979 (LAT - RS 700 ; ATF 120 Ib 70 consid. 1 ; arrêt du Tribunal fédéral 1C_174/2018 du</w:t>
      </w:r>
    </w:p>
    <w:p>
      <w:r>
        <w:rPr>
          <w:b/>
        </w:rPr>
        <w:t>E. 13</w:t>
      </w:r>
    </w:p>
    <w:p>
      <w:r>
        <w:t>février 2019 consid. 5.2 à 5.4). 6)</w:t>
      </w:r>
    </w:p>
    <w:p>
      <w:r>
        <w:t>En l'espèce, la loi 12618 est une loi de modification des limites de zones. À ce titre, et contrairement à ce que prétend la recourante, il s'agit d'une loi de nature décisionnelle, ou plus spécifiquement d'un plan d'affectation au sens de la LAT et de la LaLAT.</w:t>
      </w:r>
    </w:p>
    <w:p>
      <w:r>
        <w:t>L'arrêté du Conseil d'État du 1er juillet 2020 est quant à lui un arrêté de publication au sens de l'art. 8 LFPP, et non un arrêté de promulgation au sens des art. 13 LFPP et 62 al. 3 LPA. Dès lors, les seuls griefs qui peuvent être soulevés à son encontre relèvent des droits politiques, en particulier le choix du type de référendum effectué par le Conseil d'État en application de l'art. 8 al. 3 LFPP – à cet égard, la référence à un délai de recours de six jours contenue dans l'arrêté est tout à fait correcte.</w:t>
      </w:r>
    </w:p>
    <w:p>
      <w:r>
        <w:t>Dès lors, en tant que le présent recours est dirigé contre la loi 12618, il est irrecevable puisque l'autorité compétente est non pas la chambre constitutionnelle mais la chambre administrative ; il est en outre prématuré dès lors que le délai référendaire n'expirera que le 14 septembre 2020, et qu'en conséquence l'arrêté de promulgation constituant le dies a quo du délai de recours ne peut avoir été adopté.</w:t>
      </w:r>
    </w:p>
    <w:p>
      <w:r>
        <w:t>En tant qu'il serait dirigé contre l'arrêté du Conseil d'État du 1er juillet 2020, le présent recours serait également irrecevable, en l'absence de toute conclusion</w:t>
      </w:r>
    </w:p>
    <w:p>
      <w:r>
        <w:t>- 7/8 - A/2043/2020 concernant ledit arrêté et de tout grief ayant trait aux droits politiques, et en l'absence de qualité pour recourir de la recourante, qui en tant que PPE n'est pas titulaire des droits politiques.</w:t>
      </w:r>
    </w:p>
    <w:p>
      <w:r>
        <w:t>Le recours est ainsi manifestement irrecevable, ce qu'il convient de constater sans autre acte d'instruction, conformément à l'art. 72 LPA. 7)</w:t>
      </w:r>
    </w:p>
    <w:p>
      <w:r>
        <w:t>Selon l'art. 64 al. 2 LPA, le recours adressé à une autorité incompétente est transmis d’office à la juridiction administrative compétente, et le recourant en est averti.</w:t>
      </w:r>
    </w:p>
    <w:p>
      <w:r>
        <w:t>Comme précédemment exposé, c'est la chambre administrative qui est compétente en matière de contestation des lois de modification des limites de zones. Par ailleurs, un recours contre une loi déposé avant la publication de l'arrêté de promulgation, bien que prématuré, fait en règle générale l'objet d'une suspension de la procédure jusqu'à la promulgation de l'acte (ATF 133 I 286 consid. 1 ; arrêt du Tribunal fédéral 1C_248/2007 du 21 avril 2008 consid. 1.3 ; pour la pratique de la chambre de céans, voir p. ex. ACST/16/2019 du 3 avril 2019 consid. 9 en fait) ou, le cas échéant, jusqu'à ce que la juridiction saisie puisse constater que l'acte ne sera pas promulgué et que le recours est ainsi sans objet.</w:t>
      </w:r>
    </w:p>
    <w:p>
      <w:r>
        <w:t>Dès lors, le présent recours sera transmis à la chambre administrative pour suite utile. 8)</w:t>
      </w:r>
    </w:p>
    <w:p>
      <w:r>
        <w:t>Vu l'issue du litige et les frais occasionnés par la rédaction du présent arrêt, un émolument de CHF 1'000.- sera mis à la charge de la recourante, qui succombe, malgré la transmission de la cause à la juridiction compétente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