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ACST/21/2017 vom 30. Oktober 2017</w:t>
      </w:r>
    </w:p>
    <w:p>
      <w:r>
        <w:t>GE Cour de justice, 2017-10-30, FR</w:t>
      </w:r>
    </w:p>
    <w:p>
      <w:r>
        <w:rPr>
          <w:b/>
        </w:rPr>
        <w:t xml:space="preserve">Quelle: </w:t>
      </w:r>
      <w:r>
        <w:t>https://mcp.opencaselaw.ch/entscheid/ge_gerichte_ACST_21_2017</w:t>
      </w:r>
    </w:p>
    <w:p>
      <w:r>
        <w:t>FR: GE_GERICHTE ACST/21/2017 du 30 octobre 2017</w:t>
      </w:r>
    </w:p>
    <w:p>
      <w:r>
        <w:t>IT: GE_GERICHTE ACST/21/2017 del 30 ottobre 2017</w:t>
      </w:r>
    </w:p>
    <w:p>
      <w:pPr>
        <w:pStyle w:val="Heading2"/>
      </w:pPr>
      <w:r>
        <w:t>Erwägungen</w:t>
      </w:r>
    </w:p>
    <w:p>
      <w:r>
        <w:rPr>
          <w:b/>
        </w:rPr>
        <w:t>E. 1</w:t>
      </w:r>
    </w:p>
    <w:p>
      <w:r>
        <w:t>Selon l’art. 124 de la Constitution de la République et canton de Genève du 14 octobre 2012 (Cst-GE - A 2 00), la Cour constitutionnelle, c’est-à-dire la chambre constitutionnelle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notamment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de l’ancienne loi sur l’exercice des droits politiques [aLEDP] ; ACST/14/2017 du 30 août 2017 consid. 2).</w:t>
      </w:r>
    </w:p>
    <w:p>
      <w:r>
        <w:rPr>
          <w:b/>
        </w:rPr>
        <w:t>E. 2</w:t>
      </w:r>
    </w:p>
    <w:p>
      <w:r>
        <w:t>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(ACST/16/2017 et ACST/17/2017 du 21 septembre 2017 ; ACST/8/2016 du</w:t>
      </w:r>
    </w:p>
    <w:p>
      <w:r>
        <w:rPr>
          <w:b/>
        </w:rPr>
        <w:t>E. 3</w:t>
      </w:r>
    </w:p>
    <w:p>
      <w:r>
        <w:t>juin 2016 ; ACST/3/2016 du 24 février 2016 ; ACST/10/2015 du 11 mai 2015 ; ACST/6/2015 du 26 mars 2015 ; ACST/5/2015 du 4 mars 2015 ; ATA/65/2013 du</w:t>
      </w:r>
    </w:p>
    <w:p>
      <w:r>
        <w:rPr>
          <w:b/>
        </w:rPr>
        <w:t>E. 6</w:t>
      </w:r>
    </w:p>
    <w:p>
      <w:r>
        <w:t>février 2013 ; ATA/715/2012 du 30 octobre 2012 ; ATA/331/2012 du 5 juin 2012 ; ATA/180/2011 du 17 mars 2011 ; ATA/51/2011 du 1er février 2011 ; ATA/118/2010 du 23 février 2010 ; ATA/58/2009 du 3 février 2009 ; ATA/583/2008 du 18 novembre 2008).</w:t>
      </w:r>
    </w:p>
    <w:p>
      <w:r>
        <w:t>- 6/11 - A/4035/2017</w:t>
      </w:r>
    </w:p>
    <w:p>
      <w:r>
        <w:t>b. En l’espèce, le recours porte sur le tract de l’Entente corsiéroise distribué aux membres du corps électoral communal en vue de l’élection complémentaire d’un maire de la commune du 15 octobre 2017, ainsi que sur l’invitation officielle de la mairie de Corsier, signée par M. ANSELMETTI, adressée le 9 octobre 2017 aux aînés de la commune pour une sortie gratuite aux « Automnales – Foire de Genève ». Ces éléments ayant trait à la garantie des droits politiques, qui tend à assurer la régularité du vote et à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non publié in ATF 143 I 129 ; ACST/16/2017 et ACST/17/2017 précités ; ACST/8/2016 précité ; ACST/8/2015 du 31 mars 2015 ; ACST/6/2015 précité).</w:t>
      </w:r>
    </w:p>
    <w:p>
      <w:r>
        <w:t>b. En l’espèce, la recourante a qualité pour recourir, dès lors qu’elle est domiciliée dans la commune de Corsier, où elle exerce ses droits politiques. Le recours est ainsi recevable de ce point de vue. 4. a. Aux termes de l’art. 62 al. 1 let. c LPA, en matière de votations et d’élections, le délai de recours est de six jours.</w:t>
      </w:r>
    </w:p>
    <w:p>
      <w:r>
        <w:t>b. Ce délai court à compter du jour où, en faisant montre à cet égard de la diligence commandée par les circonstances, le recourant a pris connaissance de l’irrégularité entachant, selon lui, les opérations électorales (ACST/16/2017 et ACST/17/2017 précités ; ACST/8/2016 précité ; ACST/10/2015 précité ; ACST/6/2015 précité ; ACST/5/2015 précité).</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(ATF 140 I 338 consid. 4.4 ; 118 Ia 271 consid. 1d ; 118 Ia 415 consid. 2a ; 110 Ia 176 consid. 2a ; arrêts du Tribunal fédéral 1C_105/2015 du 2 mars 2015 consid. 4 ; 1C_282/2014 du 7 juillet 2014 consid. 2 ; 1C_457/2013 du 26 novembre 2013 consid. 3.1 ; ACST/16/2017 et ACST/17/2017 précités ; ACST/8/2016 précité ; ACST/3/2016 précité ; ACST/10/2015 précité).</w:t>
      </w:r>
    </w:p>
    <w:p>
      <w:r>
        <w:t>- 7/11 - A/4035/2017</w:t>
      </w:r>
    </w:p>
    <w:p>
      <w:r>
        <w:t>d. En l’espèce, le recours a été expédié le 4 octobre 2017. Bien que la date à laquelle le tract a été distribué aux électeurs ne soit pas connue, il ressort néanmoins de l’exemplaire de celui-ci remis par M. ANSELMETTI à la chambre de céans que les épreuves ont été tirées le 21 septembre 2017. Il n’apparaît toutefois pas invraisemblable que la recourante n’ait trouvé ce document dans sa boîte aux lettres que le 29 septembre 2017, soit une quinzaine de jours avant le scrutin, le temps de son impression puis de sa distribution. De ce point de vue, le recours est recevable.</w:t>
      </w:r>
    </w:p>
    <w:p>
      <w:r>
        <w:t>En tant qu’elle se plaint de la teneur du courrier de la mairie adressé aux aînés de la commune, la recourante modifie l’objet du litige et le cadre de l’acte attaqué, à savoir le tract de l’Entente corsiéroise, ce qui n’est pas admissible (ATF 136 V 362 consid. 3.4 et 4.2 ; arrêt du Tribunal fédéral 2C_581/2010 du 28 mars 2011 ; ATA/1185/2017 du 22 août 2017 ; ATA/522/2017 du 9 mai 2017). Cette question peut néanmoins souffrir de rester indécise au regard de ce qui suit. 5. a.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L’exigence d’un exposé détaillé des griefs prévue pour les recours en matière de validité des actes normatifs (art. 65 al. 3 LPA) n’est pas posée pour les recours en matière de votations et d’élections. Par ailleurs, appliquant le droit d’office, la chambre de céans n’est pas liée par les motifs invoqués par les parties, mais elle l’est par les conclusions prises par celles-ci (art. 69 al. 1 LPA).</w:t>
      </w:r>
    </w:p>
    <w:p>
      <w:r>
        <w:t>Compte tenu du caractère peu formaliste de l’art. 65 al. 1 et 2 LPA,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(ATA/1243/2017 du 29 août 2017 ; ATA/518/2017 du 9 mai 2017 ; ATA/74/2016 du 26 janvier 2016).</w:t>
      </w:r>
    </w:p>
    <w:p>
      <w:r>
        <w:t>b. En l’espèce, la recourante, qui comparaît sans l’aide d’un avocat, n’a pas pris de conclusions formelles en annulation du scrutin du 15 octobre 2017. Bien que l’on puisse comprendre de ses écritures que les documents dont elle se plaint seraient de nature à influencer le résultat de l’élection complémentaire d’un maire de la commune, dont la conséquence serait l’annulation du scrutin, il n’en demeure pas moins qu’elle n’a pas donné suite à l’invitation du juge délégué de préciser ses conclusions, puisqu’elle s’est limitée, dans son courrier du</w:t>
      </w:r>
    </w:p>
    <w:p>
      <w:r>
        <w:rPr>
          <w:b/>
        </w:rPr>
        <w:t>E. 9</w:t>
      </w:r>
    </w:p>
    <w:p>
      <w:r>
        <w:t>La recourante, qui succombe, sera astreinte au paiement d’un émolument de CHF 500.- (art. 87 al. 1 LPA). Vu l’issue du litige, aucune indemnité de procédure ne lui sera allouée, la recourante n’en ayant pas non plus fait la demande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