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ACST/16/2022 vom 21. Oktober 2022</w:t>
      </w:r>
    </w:p>
    <w:p>
      <w:r>
        <w:t>GE Cour de justice, 2022-10-21, FR</w:t>
      </w:r>
    </w:p>
    <w:p>
      <w:r>
        <w:rPr>
          <w:b/>
        </w:rPr>
        <w:t xml:space="preserve">Quelle: </w:t>
      </w:r>
      <w:r>
        <w:t>https://mcp.opencaselaw.ch/entscheid/ge_gerichte_ACST_16_2022</w:t>
      </w:r>
    </w:p>
    <w:p>
      <w:r>
        <w:t>FR: GE_GERICHTE ACST/16/2022 du 21 octobre 2022</w:t>
      </w:r>
    </w:p>
    <w:p>
      <w:r>
        <w:t>IT: GE_GERICHTE ACST/16/2022 del 21 ottobre 2022</w:t>
      </w:r>
    </w:p>
    <w:p>
      <w:pPr>
        <w:pStyle w:val="Heading2"/>
      </w:pPr>
      <w:r>
        <w:t>Erwägungen</w:t>
      </w:r>
    </w:p>
    <w:p>
      <w:r>
        <w:rPr>
          <w:b/>
        </w:rPr>
        <w:t>E. 18</w:t>
      </w:r>
    </w:p>
    <w:p>
      <w:r>
        <w:t>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w:t>
      </w:r>
    </w:p>
    <w:p>
      <w:r>
        <w:t>- 14/16 -</w:t>
      </w:r>
    </w:p>
    <w:p>
      <w:r>
        <w:t>A/2919/2022</w:t>
      </w:r>
    </w:p>
    <w:p>
      <w:r>
        <w:t>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ACST/9/2022 du 24 juin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l’art. 4A al. 2 LGZD, à savoir une disposition d’une loi du Grand Conseil,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Tel n’apparaît pas être le cas. En effet, sous le couvert d’une absence de conformité de la disposition litigieuse aux règles du CC en matière de PPE, les recourantes semblent en réalité se plaindre d’une violation de la garantie de la propriété, voire de la liberté économique, dont les conditions de restriction ne paraissent pas manifestement non réalisées. À première vue, l’ingérence auxdits droits fondamentaux repose sur une base légale formelle, à savoir l’art. 4A al. 2 LGZD contesté, et il n’apparaît pas évident que ce dernier ne poursuivrait pas d’intérêt public au vu de la jurisprudence de la chambre de céans, qui a déjà retenu que la lutte contre la spéculation immobilière et celle contre la pénurie de logements répondant aux besoins d’une frange de la population qui dispose des plus faibles revenus ainsi que la favorisation de l’accession à la propriété de la classe moyenne répondaient aux objectifs des art. 178 à 182 de la Constitution de la République et canton de Genève du 14 octobre 2012 (Cst-GE - A 2 00 ; ACST/23/2017 du 11 décembre 2017 consid. 14b). Il ne semble pas en aller différemment de la proportionnalité de la mesure, qui n’apparaît pas inapte à atteindre ce but, lequel ne pourrait a priori être atteint d’une autre manière au regard des différences entre la PPE en pleine propriété et la PPE en DDP, cette dernière n’apparaissant, toujours à première vue, pas satisfaire à la demande de la population aux fins de l’accession à la propriété. Enfin, il ne paraît pas évident que les intérêts des propriétaires et promoteurs seraient gravement compromis au regard des objectifs des zones de développement, consistant à favoriser la construction de logements répondant à un</w:t>
      </w:r>
    </w:p>
    <w:p>
      <w:r>
        <w:t>- 15/16 -</w:t>
      </w:r>
    </w:p>
    <w:p>
      <w:r>
        <w:t>A/2919/2022</w:t>
      </w:r>
    </w:p>
    <w:p>
      <w:r>
        <w:t>besoin d’intérêt public, l’application des normes dans de telles zones produisant une plus-value qui doit aussi profiter à la collectivité publique, autrement dit en échange de laquelle le promoteur-constructeur et, partant, le propriétaire des parcelles dites « déclassées » doivent concéder des sacrifices (ACST/13/2022 du 14 octobre 2022 consid. 5 et les références citées). À cela s’ajoute que seul un socle de 20 % serait concerné par la disposition litigieuse, rien n’empêchant les propriétaires de recourir à la PPE en DDP pour le solde du programme visé à l’art. 4A al. 1 let. c LGZD.</w:t>
      </w:r>
    </w:p>
    <w:p>
      <w:r>
        <w:t>Les recourantes soutiennent que l’entrée en vigueur immédiate de la disposition en cause mettrait à néant le projet « F______ », au stade de l’enquête technique du PLQ. Sauf à être couverte par une autorisation de construire ou un PLQ déjà entrés en force, ce qui n’est en l’occurrence pas le cas, la disposition contestée s’applique en effet dès son entrée en vigueur, ce qui n’est pas inadmissible selon la jurisprudence (ACST/23/2017 précité consid. 8c). Cela étant, les propriétaires de parcelles n’ont aucun droit au maintien du régime juridique régissant ces dernières qui prévalaient lorsqu’ils en avaient fait l’acquisition (ACST/23/2017 précité consid. 8c). Par ailleurs, outre le fait que l’octroi de l’effet suspensif au recours reviendrait à accorder provisoirement aux recourantes leurs conclusions sur le fond, il ne ressort à première vue pas des travaux préparatoires ayant mené à l’adoption de l’art. 4A LGZD, tel que modifié en 2020 déjà, que le législateur aurait voulu inclure dans la PPE celle en DDP, notamment au regard des exceptions mentionnées pour l’État, les communes et les maîtres d’ouvrage d’utilité publique, par l’emploi du terme « en principe », leur permettant de prévoir des compensations équivalentes à l’échelle du PLQ, du plan de zone, voire de la région considérée (art. 4A al. 3 LGZD). À cela s’ajoute qu’avant même la formalisation du socle de logements en PPE, tant l’ancienne teneur de l’art. 4A LGZD que la pratique antérieure des autorités consistait à faire application d’une répartition des logements en zone de développement, notamment en PPE. Dans ces circonstances, l’on ne saurait a priori considérer que l’urgence commanderait de faire droit à la requête des recourantes.</w:t>
      </w:r>
    </w:p>
    <w:p>
      <w:r>
        <w:t>Il ne se justifie dès lors pas de déroger au principe voulu par le législateur d’absence d’effet suspensif dans le cadre d’un contrôle abstrait des normes, ce qui conduit au rejet de la demande d’octroi de l’effet suspensif au recours. 5)</w:t>
      </w:r>
    </w:p>
    <w:p>
      <w:r>
        <w:t>Le sort des frais sera, quant à lui, réservé jusqu’à droit jugé au fond.</w:t>
      </w:r>
    </w:p>
    <w:p>
      <w:r>
        <w:t>- 16/16 -</w:t>
      </w:r>
    </w:p>
    <w:p>
      <w:r>
        <w:t>A/2919/2022</w:t>
      </w:r>
    </w:p>
    <w:p>
      <w:r>
        <w:t>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Laurent Strawson, avocat des recourantes, ainsi qu’au Grand Conseil.</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