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ACST/16/2021 vom 22. April 2021</w:t>
      </w:r>
    </w:p>
    <w:p>
      <w:r>
        <w:t>GE Cour de justice, 2021-04-22, FR</w:t>
      </w:r>
    </w:p>
    <w:p>
      <w:r>
        <w:rPr>
          <w:b/>
        </w:rPr>
        <w:t xml:space="preserve">Quelle: </w:t>
      </w:r>
      <w:r>
        <w:t>https://mcp.opencaselaw.ch/entscheid/ge_gerichte_ACST_16_2021</w:t>
      </w:r>
    </w:p>
    <w:p>
      <w:r>
        <w:t>FR: GE_GERICHTE ACST/16/2021 du 22 avril 2021</w:t>
      </w:r>
    </w:p>
    <w:p>
      <w:r>
        <w:t>IT: GE_GERICHTE ACST/16/2021 del 22 aprile 2021</w:t>
      </w:r>
    </w:p>
    <w:p>
      <w:pPr>
        <w:pStyle w:val="Heading2"/>
      </w:pPr>
      <w:r>
        <w:t>Erwägungen</w:t>
      </w:r>
    </w:p>
    <w:p>
      <w:r>
        <w:rPr>
          <w:b/>
        </w:rPr>
        <w:t>E. 8</w:t>
      </w:r>
    </w:p>
    <w:p>
      <w:r>
        <w:t>décembre 1956 - LFPP - B 2 05), sans que son texte puisse être modifié – et donc une loi cantonale qui a modifié la LIRT, et ce en l’absence de cas d’application (ACST/31/2020 du 2 octobre 2020 consid. 2a). Par ailleurs, le fait que l’arrêté validant l’IN 173 n’ait pas été attaqué par un recours permet néanmoins une remise en cause subséquente de la conformité de son texte par un recours contre la loi qui en est issue devant la chambre de céans (ACST/25/2020 du 27 août 2020 consid. 5). 2)</w:t>
      </w:r>
    </w:p>
    <w:p>
      <w:r>
        <w:t>Le recours a été interjeté dans le délai légal à compter de la promulgation de la novelle issue de l’IN 173, qui a eu lieu par arrêté du 28 octobre 2020, publié dans la FAO du 30 octobre 2020 (art. 62 al. 1 let. d et al. 3 de la loi sur la procédure administrative du 12 septembre 1985 - LPA - E 5 10).</w:t>
      </w:r>
    </w:p>
    <w:p>
      <w:r>
        <w:t>Le recours respecte également les conditions générales de forme et de contenu prévues aux art. 64 al. 1 et 65 LPA. En particulier, il contient un exposé détaillé des griefs des recourants (art. 65 al. 3 LPA).</w:t>
      </w:r>
    </w:p>
    <w:p>
      <w:r>
        <w:t>En revanche, les conclusions ne sont recevables que dans la mesure où, dans le respect de la nature cassatoire du recours en contrôle abstrait des normes, elles tendent à l’annulation des normes contestées (ACST/25/2020 précité consid. 6). Tel n’est pas le cas de la conclusion visant à ce que la novelle ne déploie ses effets qu’à compter du 1er février 2021, puisque les recourants, ce faisant, demandent à la chambre de céans de modifier la loi litigieuse, et pas seulement de procéder à une interprétation conforme de son texte, une telle conclusion étant irrecevable. Même à supposer qu’elle le soit, elle devrait en tout état de cause être rejetée, en l’absence de toute violation des principes de la proportionnalité et de la bonne foi, les recourants n’ayant pu ignorer que la novelle entrerait en vigueur le lendemain de sa promulgation. Ils ont au demeurant disposé de suffisamment de temps pour s’y préparer, l’initiative dont elle est issue ayant été lancée en 2018, puis accepté en votation le 27 septembre 2020, après le report du scrutin de mai 2020, pour n’entrer en vigueur que le 31 octobre 2020. 3) a. A qualité pour recourir toute personne touchée directement par une loi constitutionnelle, une loi, un règlement du Conseil d’État ou une décision et a un intérêt personnel digne de protection à ce que l’acte soit annulé ou modifié</w:t>
      </w:r>
    </w:p>
    <w:p>
      <w:r>
        <w:t>- 12/17 -</w:t>
      </w:r>
    </w:p>
    <w:p>
      <w:r>
        <w:t>A/4053/2020</w:t>
      </w:r>
    </w:p>
    <w:p>
      <w:r>
        <w:t>(art.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(ACST/25/2020 précité consid. 4a).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2C_1149/2018 du 10 mars 2020 consid. 1.3).</w:t>
      </w:r>
    </w:p>
    <w:p>
      <w:r>
        <w:t>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ACST/4/2021 du 2 mars 2021 consid. 3a).</w:t>
      </w:r>
    </w:p>
    <w:p>
      <w:r>
        <w:t>b.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ACST/31/2020 précité consid. 4c). En revanche, elle ne peut prendre fait et cause pour l’un de ses membres ou pour une minorité d’entre eux (arrêt du Tribunal fédéral 1C_499/2020 du 24 septembre 2020 consid. 2).</w:t>
      </w:r>
    </w:p>
    <w:p>
      <w:r>
        <w:t>c. En l’espèce, dès lors que la boulangerie exploite plusieurs boulangeries-pâtisseries et tea-rooms dans le canton de Genève et emploie du personnel, elle est directement concernée par la novelle issue de l’IN 173 qui institue un salaire minimum pour ses employés. Les associations recourantes ont pour but statutaire la défense des intérêts de leurs membres, lesquels auraient ainsi qualité pour recourir à titre individuel.</w:t>
      </w:r>
    </w:p>
    <w:p>
      <w:r>
        <w:t>La chambre de céans entrera donc en matière sur le recours, dans la mesure de sa recevabilité. 4)</w:t>
      </w:r>
    </w:p>
    <w:p>
      <w:r>
        <w:t>À l’instar du Tribunal fédéral, la chambre constitutionnelle, lorsqu’elle se prononce dans le cadre d’un contrôle abstrait des normes, s’impose une certaine</w:t>
      </w:r>
    </w:p>
    <w:p>
      <w:r>
        <w:t>- 13/17 -</w:t>
      </w:r>
    </w:p>
    <w:p>
      <w:r>
        <w:t>A/4053/2020</w:t>
      </w:r>
    </w:p>
    <w:p>
      <w:r>
        <w:t>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2C_752/2018 du 29 août 2019 consid. 2 ; ACST/4/2021 précité consid. 4). 5)</w:t>
      </w:r>
    </w:p>
    <w:p>
      <w:r>
        <w:t>Les recourants contestent l’art. 39K al. 3, 2ème phr. LIRT en tant qu’il prévoit que le salaire minimum n’est indexé qu’en cas d’augmentation de l’IPC, ce qui serait contraire à la liberté économique dans sa dimension institutionnelle et individuelle. 6)</w:t>
      </w:r>
    </w:p>
    <w:p>
      <w:r>
        <w:t>L’art. 27 de la Constitution fédérale de la Confédération suisse du 18 avril 1999 (Cst. - RS 101) garantit la liberté économique. Cette liberté comprend notamment le libre choix de la profession, le libre accès à une activité économique lucrative privée et son libre exercice (al. 2).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 Ces deux aspects, institutionnel et individuel, sont étroitement liés (ATF 145 I 183 consid. 4.1.1).</w:t>
      </w:r>
    </w:p>
    <w:p>
      <w:r>
        <w:t>Des restrictions à la liberté économique sont admissibles, mais elles doivent reposer sur une base légale, être justifiées par un intérêt public prépondérant et respecter le principe de proportionnalité (art. 36 al. 1 à 3 Cst. ; ATF 143 II 598 consid. 5.1). Les dérogations au principe de la liberté économique, en particulier les mesures menaçant la concurrence, ne sont admises que si elles sont prévues par la Cst. ou fondées sur les droits régaliens des cantons (art. 94 al. 4 Cst. ;</w:t>
      </w:r>
    </w:p>
    <w:p>
      <w:r>
        <w:t>- 14/17 -</w:t>
      </w:r>
    </w:p>
    <w:p>
      <w:r>
        <w:t>A/4053/2020</w:t>
      </w:r>
    </w:p>
    <w:p>
      <w:r>
        <w:t>ATF 143 I 403 consid. 5.2). Contrairement aux mesures d’ordre économique, qui sont susceptibles d’entraver, voire même de déroger à la libre concurrence, les mesures étatiques poursuivant des motifs d’ordre public, de politique sociale (soit celles qui tendent à procurer du bien-être à l’ensemble ou à une grande partie de la population ou à accroître ce bien-être par l’amélioration des conditions de vie, de la santé ou des loisirs ; ATF 140 I 218 consid. 6) ou des mesures ne servant pas, en premier lieu, des intérêts économiques, sortent d’emblée du champ de protection de l’art. 94 Cst. (ATF 143 I 403 consid. 5.2 ; arrêt du Tribunal fédéral 2C_291/2018 du 7 août 2018 consid. 4.1). 7) a. Selon les recourants, la seule indexation à la hausse de l’IPC prévue par la disposition litigieuse ne répondrait pas à des motifs de politique sociale, mais relèverait de la politique économique.</w:t>
      </w:r>
    </w:p>
    <w:p>
      <w:r>
        <w:t>Le Tribunal fédéral a toutefois jugé que le montant du salaire minimum cantonal devait se situer à un niveau relativement bas, proche du revenu minimal résultant des systèmes d’assurance ou d’assistance sociale, sous peine de sortir du cadre de la politique sociale pour entrer dans celui de la politique économique (arrêt du Tribunal fédéral 1C_357/2009 du 8 avril 2010 consid. 3.3) et qu’un salaire minimum se fondant sur les prestations complémentaires à l’assurance- vieillesse et survivants (ci-après : AVS) et à l’assurance-invalidité (ci-après : AI), destinées à la couverture des besoins vitaux, répondait à la préoccupation énoncée par la jurisprudence en se limitant au cadre de la politique sociale (ATF 143 I 403 consid. 5.4.3). Il n’en va pas différemment de la novelle, même si le montant du salaire minimum se fonde sur les PCC genevoises qui sont supérieures à celles octroyées par le droit fédéral (art. 2 al. 2 de la loi fédérale sur les prestations complémentaires à l’AVS et à l’AI du 6 octobre 2006 LPC - RS 831.30), dès lors qu’elles sont également destinées à couvrir les besoins vitaux, comme l’a, à juste titre, relevé le Conseil d’État dans son arrêté du 27 février 2019 sur la validité de l’IN 173.</w:t>
      </w:r>
    </w:p>
    <w:p>
      <w:r>
        <w:t>Dans ce cadre, il ressort de la méthode de calcul utilisée pour parvenir à ce montant horaire minimum de CHF 23.-, résultant de l’arrêté du Conseil d’État précité, qu’au montant forfaitaire desdites prestations complémentaires, de CHF 25'661.-, a été ajouté un montant forfaitaire de CHF 13'200.- pour le loyer ainsi qu’un montant de CHF 6'996.- correspondant à la prime moyenne cantonale d’assurance-maladie, pour 2018, année du lancement de l’IN 173. Au total net ainsi obtenu, de CHF 45'857.-, a été ajouté le montant annuel pour les cotisations aux assurances sociales, estimé à CHF 4'800.65, ce qui donne un revenu annuel brut de CHF 50'657.65 pour une personne seule exerçant une activité à plein temps à raison de quarante-et-une heures par semaine, soit un salaire brut horaire de CHF 23.76, légèrement supérieur au montant résultant de la novelle.</w:t>
      </w:r>
    </w:p>
    <w:p>
      <w:r>
        <w:t>Le montant du salaire minimum est ainsi suffisamment proche du revenu minimal d’assistance résultant de ce calcul pour être conforme à la jurisprudence</w:t>
      </w:r>
    </w:p>
    <w:p>
      <w:r>
        <w:t>- 15/17 -</w:t>
      </w:r>
    </w:p>
    <w:p>
      <w:r>
        <w:t>A/4053/2020</w:t>
      </w:r>
    </w:p>
    <w:p>
      <w:r>
        <w:t>en la matière, en laissant une certaine marge pour sa fixation. À cet égard, contrairement à ce que soutiennent les recourants, l’indexation à l’IPC n’en fait pas pour autant une mesure de politique économique, puisque ladite indexation n’entre pas en tant que telle dans le calcul pour établir ce salaire minimum. Les recourants ne peuvent pas davantage soutenir qu’une indexation, comme celle prévue à l’art. 39K al. 3, 2ème phr. LIRT, conduirait à une accumulation de majorations, puisqu’elle n’a pas lieu en l’absence d’augmentation de l’IPC et reste inchangée jusqu’à ce que l’IPC dépasse à nouveau le niveau ayant conduit à la précédente indexation. Par ailleurs, le fait que ladite disposition ne prévoie pas d’indexation à la baisse ne conduit pas à un autre résultat, le salaire horaire minimum fixé demeurant toujours suffisamment proche du revenu minimal d’assistance. L’on ne peut ainsi y déceler aucune mesure de politique économique, ce qui n’était du reste pas l’intention poursuivie par les initiants, dont le but était, par l’instauration d’un salaire minimum, de lutter contre la pauvreté à Genève et enrayer le phénomène des travailleurs pauvres, en leur permettant de vivre de leur emploi sans devoir recourir à l’aide sociale étatique.</w:t>
      </w:r>
    </w:p>
    <w:p>
      <w:r>
        <w:t>b. S’agissant de la liberté économique prise dans sa dimension individuelle, dont les recourants se prévalent également, elle est restreinte par l’obligation issue de la novelle, qui impose aux employeurs l’obligation de verser aux travailleurs à bas revenu accomplissant leur activité dans le canton un salaire horaire minimum de CHF 23.-, indexé chaque année en cas d’augmentation de l’IPC. Introduit dans la LIRT, ladite mesure repose sur une base légale formelle et poursuit des objectifs de politique sociale, conformément à ce qui précède, soit un but d’intérêt public admissible au sens de l’art. 36 al. 2 Cst. Par ailleurs, on ne voit pas que l’acte attaqué porterait atteinte à l’essence de la liberté économique (art. 36 al. 4 Cst.).</w:t>
      </w:r>
    </w:p>
    <w:p>
      <w:r>
        <w:t>Bien qu’alléguant que cette mesure serait disproportionnée, les recourants ne démontrent pas en quoi elle le serait, se limitant à évoquer des arguments relatifs à son opportunité, comme ses conséquences économiques sur les entreprises et les employeurs en cas de déflation. Dans un tel cas toutefois, aucune indexation à la hausse n’a lieu, et ce jusqu’à une nouvelle augmentation de l’IPC. La réglementation litigieuse fixe ainsi un mécanisme qui se situe à un niveau raisonnable, étant précisé qu’en tout état de cause, le salaire mensuel obtenu sur la base du salaire minimum de CHF 23.- se situe en dessous des deux tiers du salaire médian à Genève, à savoir en dessous du niveau de bas salaire généralement admis, si bien que même indexé à la hausse seulement, il demeure dans une proportion raisonnable par rapport à son but, qui est de lutter contre la pauvreté et la précarité des travailleurs, en leur évitant de devoir recourir à l’aide sociale. L’art. 39K al. 3, 2ème phr LIRT ne constitue par conséquent pas une atteinte disproportionnée à la liberté économique.</w:t>
      </w:r>
    </w:p>
    <w:p>
      <w:r>
        <w:t>- 16/17 -</w:t>
      </w:r>
    </w:p>
    <w:p>
      <w:r>
        <w:t>A/4053/2020</w:t>
      </w:r>
    </w:p>
    <w:p>
      <w:r>
        <w:t>Il s’ensuit que le recours, entièrement mal fondé, sera rejeté, dans la mesure de sa recevabilité. 8)</w:t>
      </w:r>
    </w:p>
    <w:p>
      <w:r>
        <w:t>Vu l’issue du litige, un émolument de CHF 1'500.-, qui tient compte de la décision sur effet suspensif, sera mis à la charge solidaire des recourants, qui succombent (art. 87 al. 1 LPA), et aucune indemnité de procédure ne leur sera allouée, pas plus qu’au Grand Conseil, qui dispose de son propre service juridique et n’a pris aucune conclusion dans ce sens (art. 87 al. 2 LPA). Une indemnité de procédure de CHF 1'500.- sera toutefois allouée au comité intimé,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