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ACST/16/2018 vom 28. Juni 2018</w:t>
      </w:r>
    </w:p>
    <w:p>
      <w:r>
        <w:t>GE Cour de justice, 2018-06-28, FR</w:t>
      </w:r>
    </w:p>
    <w:p>
      <w:r>
        <w:rPr>
          <w:b/>
        </w:rPr>
        <w:t xml:space="preserve">Quelle: </w:t>
      </w:r>
      <w:r>
        <w:t>https://mcp.opencaselaw.ch/entscheid/ge_gerichte_ACST_16_2018</w:t>
      </w:r>
    </w:p>
    <w:p>
      <w:r>
        <w:t>FR: GE_GERICHTE ACST/16/2018 du 28 juin 2018</w:t>
      </w:r>
    </w:p>
    <w:p>
      <w:r>
        <w:t>IT: GE_GERICHTE ACST/16/2018 del 28 giugno 2018</w:t>
      </w:r>
    </w:p>
    <w:p>
      <w:pPr>
        <w:pStyle w:val="Heading2"/>
      </w:pPr>
      <w:r>
        <w:t>Erwägungen</w:t>
      </w:r>
    </w:p>
    <w:p>
      <w:r>
        <w:rPr>
          <w:b/>
        </w:rPr>
        <w:t>E. 11</w:t>
      </w:r>
    </w:p>
    <w:p>
      <w:r>
        <w:t>avril 2014 et entrée en vigueur le 14 juin 2014,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(ACST/2/2018 précité consid. 2a et les références citées).</w:t>
      </w:r>
    </w:p>
    <w:p>
      <w:r>
        <w:t>b. En application de l’art. 111 al. 1 de la loi fédérale sur le Tribunal fédéral du 17 juin 2005 (LTF - RS 173.110), le droit cantonal ne peut pas définir la qualité de partie devant l’autorité qui précède immédiatement le Tribunal fédéral de manière plus restrictive que ne le fait l’art. 89 LTF. Aux termes de cette disposition, a qualité pour former un recours en matière de droit public quiconque a pris part à la procédure devant l’autorité précédente ou a été privé de la possibilité de le faire (al. 1 let. a), est particulièrement atteint par la décision ou l’acte normatif attaqué (al. 1 let. b) et a un intérêt digne de protection à son annulation ou à sa modification (al. 1 let. c).</w:t>
      </w:r>
    </w:p>
    <w:p>
      <w:r>
        <w:t>Lorsque le recours est dirigé contre un acte normatif, la qualité pour recourir est conçue de manière plus souple et il n’est pas exigé que le recourant soit</w:t>
      </w:r>
    </w:p>
    <w:p>
      <w:r>
        <w:t>- 9/18 - A/5011/2017 particulièrement atteint par l’acte entrepris.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141 I 78 consid. 3.1 ; arrêt du Tribunal fédéral 1C_196/2017 du 22 novembre 2017 consid. 2.1).</w:t>
      </w:r>
    </w:p>
    <w:p>
      <w:r>
        <w:t>La qualité pour recourir suppose en outre un intérêt actuel à obtenir l’annulation de l’acte entrepris, cet intérêt devant exister tant au moment du dépôt du recours qu’au moment où l’arrêt est rendu (ATF 142 I 135 consid. 1.3.1 ; arrêt du Tribunal fédéral 2C_437/2017 du 5 février 2018 consid. 1.4.2 et les références citées).</w:t>
      </w:r>
    </w:p>
    <w:p>
      <w:r>
        <w:t>c. En l’espèce, les recourants, en tant que membres du personnel des SIG auxquels la LOIDP est applicable, sont susceptibles de se voir appliquer la disposition litigieuse. Cette situation est d’autant plus vraie pour Mme A______ et MM. B______, E______ et I______, qui siègent au conseil d’administration des SIG en tant que représentants du personnel, et se voient ainsi directement appliquer l’art. 22 al. 2 LOIDP. Ils ont dès lors qualité pour recourir. 4)</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(arrêt du Tribunal fédéral 2C_380/2016 du 1er septembre 2017 consid. 2 et les arrêts cités ; ACST/3/2018 du 5 mars 2018 consid. 9b et les arrêts cirés). 5) a. Les recourants se plaignent de ce que la disposition litigieuse a été adoptée au mépris de leur liberté syndicale, à laquelle elle ne serait pas conforme.</w:t>
      </w:r>
    </w:p>
    <w:p>
      <w:r>
        <w:t>- 10/18 - A/5011/2017</w:t>
      </w:r>
    </w:p>
    <w:p>
      <w:r>
        <w:t>b. L’art. 28 al. 1 de la Constitution fédérale de la Confédération suisse du 18 avril 1999 (Cst. - RS 101) garantit la liberté syndicale et prévoit que les travailleurs, les employeurs et leurs organisations ont le droit de se syndiquer pour la défense de leurs intérêts, de créer des associations et d’y adhérer ou non. L’art. 36 Cst-GE garantit également la liberté syndicale et prévoit que nul ne doit subir de préjudice du fait de son appartenance ou de son activité syndicale (al. 1 et 2). L’art. 11 de la Convention de sauvegarde des droits de l’homme et des libertés fondamentales du 4 novembre 1950 (CEDH - RS 0.101) garantit expressément le droit de fonder avec d’autres des syndicats et de s’affilier à des syndicats pour la défense de ses intérêts. Quant aux art. 8 du Pacte international relatif aux droits économiques, sociaux et culturels du 16 décembre 1966 (Pacte I - RS 0.103.1) et 22 du Pacte international relatif aux droits civils et politiques du 16 décembre 1966 (Pacte II - RS 0.103.2), ils obligent les États parties à assurer à toute personne le droit de former avec d’autres des syndicats et aux syndicats le droit de former des fédérations et des organisations syndicales internationales.</w:t>
      </w:r>
    </w:p>
    <w:p>
      <w:r>
        <w:t>c. Jurisprudence et doctrine distinguent la liberté syndicale individuelle de la liberté syndicale collective. La liberté syndicale individuelle donne au particulier le droit de contribuer à la création d’un syndicat, d’adhérer à un syndicat existant ou de participer à son activité (liberté syndicale positive), ainsi que celui de ne pas y adhérer ou d’en sortir (liberté syndicale négative), sans se heurter à des entraves étatiques. Quant à la liberté syndicale collective, elle garantit au syndicat la possibilité d’exister et d’agir en tant que tel, c’est-à-dire de défendre les intérêts de ses membres. Elle implique notamment le droit de participer à des négociations collectives et de conclure des conventions collectives (ATF 143 I 403 consid. 6.1 ; 140 I 257 consid. 5.1 p. 261 et les références citées). Afin que le droit des syndicats d’exprimer et de soutenir librement les idées et les opinons en vue de la défense des intérêts de leurs membres puisse effectivement être exercé dans le secteur public, l’État employeur se doit, dans ses rapports avec les organisations syndicales, de leur garantir non seulement l’existence, mais aussi l’autonomie et une certaine sphère d’activité. En particulier, l’État n’a pas à favoriser l’émergence d’un monopole syndical sous la forme d’un « syndicat d’État » ; la liberté syndicale présuppose au contraire une pluralité de syndicats. Ce souci est exprimé de manière assez nette par l’art. 5 de la Convention n° 151 de l'Organisation internationale du travail (ci-après : OIT) concernant la protection du droit d’organisation et les procédures de détermination des conditions d’emploi dans la fonction publique du 27 juin 1978, entrée en vigueur pour la Suisse le 3 mars 1982 (Convention n° 151 - RS 0.822.725.1), qui énonce que les organisations d’agents publics doivent jouir d’une complète indépendance à l’égard des autorités publiques (ATF 129 I 113 consid. 5.3 et les références citées).</w:t>
      </w:r>
    </w:p>
    <w:p>
      <w:r>
        <w:t>d. Un syndicat de la fonction publique peut, à certaines conditions, se prévaloir de la liberté syndicale collective. Il ne s’ensuit toutefois pas que les syndicats</w:t>
      </w:r>
    </w:p>
    <w:p>
      <w:r>
        <w:t>- 11/18 - A/5011/2017 puissent tirer de l’art. 28 al. 1 Cst. le droit de participer à l’élaboration des projets de lois et de règlements concernant les conditions de travail de leurs membres ; la reconnaissance d’un tel droit se heurterait en effet à la souveraineté de l’État en matière législative et réglementaire. Même si leur avis ne lie pas les autorités, en particulier le législateur, les syndicats du secteur public ont toutefois le droit d’être entendus sous une forme appropriée en cas de modifications significatives - législatives ou réglementaires – touchant le statut de leurs membres (ATF 140 I 257 consid. 5.1.1 ; arrêt du Tribunal fédéral 2C_589/2016 du 8 mars 2017 et les références mentionnées). En cela, la jurisprudence du Tribunal fédéral est conforme à celle rendue par la Cour européenne des droits de l’Homme (ci-après : CourEDH) en application de l’art. 11 CEDH (ATF 140 I 257 consid. 5.1.2 et les références citées).</w:t>
      </w:r>
    </w:p>
    <w:p>
      <w:r>
        <w:t>Par ailleurs, l’art. 29 al. 2 Cst. ne confère pas aux citoyens le droit d’être entendus dans une procédure législative. Une exception n’est admise que lorsque certaines personnes (destinataires dits « spéciaux ») sont touchées de façon sensiblement plus grave que le plus grand nombre des destinataires « ordinaires », par exemple lorsqu’un décret de portée générale ne touche concrètement qu’un très petit nombre de propriétaires (ATF 137 I 195 consid. 2.4 ; 134 I 269 consid. 3.3.1 ; arrêt du Tribunal fédéral 2C_589/2016 précité consid. 6.3 et les références citées). 6)</w:t>
      </w:r>
    </w:p>
    <w:p>
      <w:r>
        <w:t>En l’espèce, outre le fait qu’il paraît douteux que les recourants, qui ne prétendent pas représenter un syndicat, puissent se prévaloir de la liberté syndicale sous son aspect collectif, l’on ne voit pas de quelle manière la disposition litigieuse y contreviendrait. En particulier, elle n’empêche pas les recourants de défendre les intérêts du personnel qu’ils représentent au sein du conseil d’administration. L’art. 22 al. 2 LOIDP n’entend pas non plus opérer de discrimination à leur égard, en privilégiant un syndicat plutôt qu’un autre, puisque l’ensemble des représentants du personnel au sein des conseils d’administration sont traités de la même manière.</w:t>
      </w:r>
    </w:p>
    <w:p>
      <w:r>
        <w:t>Il en va de même s’agissant de l’aspect individuel de leur liberté syndicale, dans laquelle la disposition attaquée n’opère aucune ingérence. Elle n’empêche en particulier pas les employés de se syndiquer pour la défense de leurs intérêts et de représenter le personnel au sein des conseils d’administration des institutions dans lesquelles ils sont employés. Au contraire, l’art. 22 al. 2 LOIDP favorise même une telle activité, puisqu’elle leur permet d’obtenir une rémunération ou une décharge en temps en vue de préparer et de participer à ces séances, sans les péjorer d’une quelconque manière.</w:t>
      </w:r>
    </w:p>
    <w:p>
      <w:r>
        <w:t>En outre, les recourants ne sauraient se prévaloir d’une quelconque violation de leur droit d’être entendu dans la procédure législative ayant conduit à l’adoption de la LOIDP, en particulier de son art. 22 al. 2, puisque plusieurs syndicats ont été auditionnés, par le biais de leurs représentants, en particulier</w:t>
      </w:r>
    </w:p>
    <w:p>
      <w:r>
        <w:t>- 12/18 - A/5011/2017 quatre des recourants, par la commission chargée d’étudier le PL 11391. Ils ont ainsi été en mesure de faire valoir leur point de vue au sujet de la disposition contestée, leur position étant connue des autorités législatives au moment de l’adoption de la loi. Quant aux autres recourants, qui n’ont pas été auditionnés, ils ne peuvent pas davantage invoquer une violation de leur droit d’être entendus, puisqu’ils ne sont pas touchés de façon sensiblement plus grave que les autres destinataires de la disposition querellée.</w:t>
      </w:r>
    </w:p>
    <w:p>
      <w:r>
        <w:t>Il s’ensuit que le grief tiré de la violation de la violation de la liberté syndicale sera écarté. 7) a. Les recourants soutiennent que l’art. 22 al. 2 LOIDP serait contraire à la loi sur la participation, en particulier ses art. 12 et 13. Ce faisant, ils allèguent implicitement une violation de la primauté du droit fédéral ancré à l’art. 49 al. 1 Cst.</w:t>
      </w:r>
    </w:p>
    <w:p>
      <w:r>
        <w:t>b. En vertu de ce principe,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(ATF 143 I 109 consid. 4.2.2 et les références citées). Cela concerne en particulier les règles de droit public cantonal qui sont en concours avec le droit civil fédéral, dans leurs rapports avec ce droit. De telles règles, que les cantons peuvent édicter en vertu de l’art. 6 du Code civil suisse du 10 décembre 1907 (CC - RS 210), ne sont admissibles qu’à la triple condition que le législateur fédéral n’ait pas entendu réglementer la matière de manière exhaustive, que les règles cantonales soient justifiées par un intérêt public pertinent et, enfin, qu’elles n’éludent ni ne contredisent le sens ou l’esprit du droit civil fédéral (ATF 143 I 403 consid. 7.1 et les références citées).</w:t>
      </w:r>
    </w:p>
    <w:p>
      <w:r>
        <w:t>L’existence ou l’absence d’une législation fédérale exhaustive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recherché par le droit fédéral. Ce n’est que lorsque la législation fédérale exclut toute réglementation dans un domaine particulier que le canton perd la compétence pour adopter des dispositions complétives, quand bien même celles-ci ne contrediraient pas le droit fédéral ou seraient même en accord avec celui-ci (ATF 143 I 403 consid. 7.1 et les références citées).</w:t>
      </w:r>
    </w:p>
    <w:p>
      <w:r>
        <w:t>c. La répartition des compétences entre la Confédération et les cantons en matière de droit du travail résulte de l’art. 110 Cst. pour le droit public et de l’art. 122 Cst. pour le droit civil. En effet, les rapports de travail sont soumis à toutes sortes de prescriptions de droit public, adoptées par les cantons ou la Confédération, afin d’assurer une protection minimale des travailleurs. Ainsi,</w:t>
      </w:r>
    </w:p>
    <w:p>
      <w:r>
        <w:t>- 13/18 - A/5011/2017 selon l’art. 110 al. 1 let. b Cst., qui a repris la teneur de l’ancien art. 34ter al. 1 let. b de la Constitution fédérale de la Confédération suisse du 29 mai 1874 (aCst.), la Confédération peut légiférer sur les rapports entre employeurs et travailleurs, notamment la réglementation en commun des questions intéressant l’entreprise et le domaine professionnel. En cette matière, la Confédération dispose de compétences concurrentes non limitées aux principes, dont elle a notamment fait usage en adoptant la loi sur la participation, ainsi que la loi fédérale sur le travail dans l’industrie, l’artisanat et le commerce du 13 mars 1964 (LTr - RS 822.11), laquelle n’empêche cependant pas l’adoption de mesures qui, sans avoir pour but principal de protéger les travailleurs, ont accessoirement un effet protecteur (ATF 143 I 403 consid. 7.5.1 et 7.5.2 et les références citées).</w:t>
      </w:r>
    </w:p>
    <w:p>
      <w:r>
        <w:t>d. Lors de l’élaboration de la loi sur la participation s’est posée la question de savoir si celle-ci pouvait se baser sur l’art. 34ter al. 1 let. b aCst., ce qui a suscité un certain nombre de controverses. Alors que certains estimaient que la réponse devait être négative, aussi bien au niveau de l’exploitation (décisions sur les conditions de travail, de salaire, etc.) que de la gestion économique de l’entreprise (choix stratégiques, investissements, etc.), d’aucuns étaient d’avis que la disposition constitutionnelle restait ouverte, en n’excluant pas la compétence de la Confédération, même pour la participation à la gestion (Jean-François AUBERT/Pascal MAHON, Petit commentaire de la Constitution fédérale de la Confédération suisse du 18 avril 1999, 2003, ad art. 110, p. 855 s n. 17, et les références citées). Lors de la mise à jour de la Cst., la question a été laissée ouverte (Message relatif à une nouvelle constitution fédérale du 20 novembre 1996, FF 1997 I 1, p. 326).</w:t>
      </w:r>
    </w:p>
    <w:p>
      <w:r>
        <w:t>e. La loi sur la participation, qui s’applique à toutes les entreprises privées occupant, en Suisse, des travailleurs en permanence (art. 1 de la loi sur la participation), établit des dispositions-cadre en matière du droit des travailleurs d’être informés et consultés sur le plan de l’exploitation, et non de la gestion de l’entreprise (Message sur l’adaptation du droit fédéral au droit de l’EEE, message complémentaire II au message relatif à l’Accord EEE, du 15 juin 1992, FF 1992 V 506, p. 620). Bien que son champ d’application soit délimité afin de permettre une application large de ses dispositions, elle ne concerne pas les entreprises et les administrations publiques (Message, op. cit., FF 1992 V 506, p. 628).</w:t>
      </w:r>
    </w:p>
    <w:p>
      <w:r>
        <w:t>Elle prévoit en particulier que la représentation des travailleurs a le droit d’être informée en temps opportun et de manière complète sur toutes les affaires dont la connaissance lui est nécessaire pour s’acquitter convenablement de ses tâches, l’employeur étant tenu de l’informer au moins une fois par an sur les conséquences de la marche des affaires sur l’emploi et pour le personnel (art. 9 de la loi sur la participation). La représentation des travailleurs dispose de droits de participation en matière de sécurité au travail, de transfert de l’entreprise, de licenciements collectifs, d’affiliation à une institution de prévoyance</w:t>
      </w:r>
    </w:p>
    <w:p>
      <w:r>
        <w:t>- 14/18 - A/5011/2017 professionnelle et de résiliation d’un contrat d’affiliation (art. 10 de la loi sur la participation).</w:t>
      </w:r>
    </w:p>
    <w:p>
      <w:r>
        <w:t>Selon l’art. 12 de la loi sur la participation, l’employeur n’a pas le droit d’empêcher les représentants des travailleurs d’exercer leur mandat (al. 1). Il ne doit pas défavoriser les représentants des travailleurs, pendant ou après leur mandat, en raison de l’exercice de cette activité. Cette protection est également étendue aux personnes se portant candidates à l’élection dans une représentation des travailleurs (al. 2). Cette disposition a un caractère impératif et protège les représentants des travailleurs dans l’exercice régulier de leur mandat, lesquels ne doivent pas être entravés dans leur travail ni défavorisés (Message, op. cit., p. 633). L’art. 13 de la loi sur la participation prévoit quant à lui que les représentants des travailleurs peuvent exercer leur mandat durant les heures de travail à condition que ce mandat l’exige et que leurs activités professionnelles le permettent.</w:t>
      </w:r>
    </w:p>
    <w:p>
      <w:r>
        <w:t>f. Établissement de droit public fondé sur l’art. 168 Cst-GE et dotés de la personnalité juridique, les SIG ont pour but de fournir dans le canton de Genève l’eau, le gaz, l’électricité, de l’énergie thermique, ainsi que de traiter des déchets (art. 1 al. 1 et 2 al. 1 de loi sur l’organisation des services industriels de Genève du 5 octobre 1973 - LSIG - L 2 35).</w:t>
      </w:r>
    </w:p>
    <w:p>
      <w:r>
        <w:t>L’administration des SIG est confiée à un conseil d’administration dont les membres sont nommés à raison notamment de quatre membres faisant partie du personnel des SIG, élus par l’ensemble de ce personnel (art. 6 let. f LSIG). Selon l’art. 16 LSIG, en plus des attributions confiées par la LOIDP, le conseil d’administration a en particulier les compétences suivantes : il adopte les prescriptions autonomes, y compris les tarifs (let. a), il établit le statut du personnel et fixe les traitements (let. b), il nomme et révoque les directeurs (let. c), il décide de tous les appels de fond destinés au financement des SIG (let. d), il se prononce sur les conventions avec d’autres entreprises destinées à faciliter ou garantir l’approvisionnement (let. e), il ordonne, de manière générale, toutes les études, tous les actes et prend toutes les mesures utiles à la bonne marche des SIG et aux prévisions de développement que comportent l’évolution démographique et les progrès de la technique (let. f).</w:t>
      </w:r>
    </w:p>
    <w:p>
      <w:r>
        <w:t>L’art. 40 LOIDP, applicable aux établissements de droit public principaux que sont notamment les SIG (art. 3 al. 1 let. e LOIDP), prévoit que le conseil d’administration est le pouvoir supérieur de l’institution (al. 1). Il est chargé de la stratégie de l’institution et a notamment les attributions suivantes (al. 2) : il établit les instructions nécessaires à son mode de fonctionnement et de représentation ainsi qu’à l’exercice de la surveillance de l’institution (let. a), il organise le fonctionnement général de l’institution (let. d), il veille à l’élaboration d’une planification financière et adopte chaque année le projet de budget d’exploitation et d’investissement, les états financiers et le rapport de gestion (let. j).</w:t>
      </w:r>
    </w:p>
    <w:p>
      <w:r>
        <w:t>- 15/18 - A/5011/2017 8)</w:t>
      </w:r>
    </w:p>
    <w:p>
      <w:r>
        <w:t>En l’espèce, la loi sur la participation ne s’applique pas aux entreprises et aux administrations publiques, comme les SIG. Au surplus, il ressort des développements susmentionnés qu’en édictant cette loi, la Confédération n’a que partiellement utilisé sa compétence, dès lors qu’elle n’a réglementé que l’exploitation de l’entreprise, et non pas sa gestion. Or, la réglementation litigieuse concerne ce dernier aspect, au regard des tâches dévolues au conseil d’administration, à qui il appartient de décider notamment des stratégies à adopter et des investissements à effectuer dans le cadre de la gestion de l’entreprise. La Confédération n’ayant pas épuisé la matière en ce domaine, les cantons demeurent ainsi compétents, l’art. 22 al. 2 LOIDP étant conforme à la répartition des compétences. L’on ne voit au demeurant pas dans quelle mesure il serait contraire aux dispositions de la loi sur la participation dont se prévalent les recourants, dès lors qu’il ne les oblige pas à accomplir leur mandat durant leurs heures de travail, ce qui ne serait du reste pas contraire à l’art. 13 de la loi sur la participation, ni ne les défavoriserait d’une quelconque manière en raison de l’exercice de cette activité.</w:t>
      </w:r>
    </w:p>
    <w:p>
      <w:r>
        <w:t>Ce grief sera par conséquent également écarté. 9) a. Les recourants se plaignent d’une violation du principe de l’égalité dans la loi en tant que l’art. 22 al. 2 LOIDP créerait des inégalités inadmissibles entre les membres du conseil d’administration.</w:t>
      </w:r>
    </w:p>
    <w:p>
      <w:r>
        <w:t>b. Selon la jurisprudence,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de traitement consiste ainsi à traiter de manière inégale ce qui devrait l’être de manière semblable ou inversement (ATF 141 I 153 consid. 5.1 ; arrêt du Tribunal fédéral 8C_779/2015 du 8 août 2016 consid. 9.2 et les références citées). La question de savoir s’il existe un motif raisonnable pour une distinction peut recevoir des réponses différentes suivant les époques et les idées dominantes. Le législateur dispose d’un large pouvoir d’appréciation dans le cadre de ces principes (ATF 137 I 167 consid. 3.4).</w:t>
      </w:r>
    </w:p>
    <w:p>
      <w:r>
        <w:t>c. 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w:t>
      </w:r>
    </w:p>
    <w:p>
      <w:r>
        <w:t>- 16/18 - A/5011/2017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Toutefois, l’interdiction de la discrimination au sens du droit constitutionnel suisse ne rend pas absolument inadmissible le fait de se fonder sur un critère prohibé tel que ceux énumérés de manière non exhaustive par l’art. 8 al. 2 Cst. L’usage d’un tel critère fait naître une présomption de différenciation inadmissible qui ne peut être renversée que par une justification qualifiée : la mesure litigieuse doit poursuivre un intérêt public légitime et primordial, être nécessaire et adéquate et respecter dans l’ensemble le principe de la proportionnalité (ATF 143 I 129 consid. 2.3.1 et les références citées). 10) En l’espèce, quoi qu’en disent les recourants, bien que tous les membres du conseil d’administration exercent une activité identique, les représentants du personnel se trouvent dans une situation particulière par rapport aux autres membres de celui-ci, étant donné leur lien avec l’institution, dont ils sont salariés. Ils sont ainsi élus en leur qualité de collaborateur de celle-ci afin de défendre les intérêts communs des travailleurs. Dans ce cadre, seuls les représentants du personnel peuvent obtenir une décharge en temps. Celle-ci leur permet d’exercer leur activité au sein du conseil d’administration, sans qu’ils n’en subissent de préjudice par rapport aux autres membres du conseil, même si elle n’entre pas dans leur cahier des charges et que la fonction ne constitue pas du temps de travail. En l’absence de situation comparable, l’art. 22 al. 2 Cst. n’est ainsi constitutif d’aucune inégalité de traitement, pas plus que d’une discrimination à l’égard des recourants, qui n’allèguent du reste pas faire partie d’un groupe protégé par l’art. 8 al. 2 Cst.</w:t>
      </w:r>
    </w:p>
    <w:p>
      <w:r>
        <w:t>Il n’en demeure pas moins que dans le cas de postes à responsabilités ou de surcharge de travail, une décharge en temps peut se révéler impossible à réaliser ou seulement partiellement, de sorte à rendre vaine l’application de l’art. 22 LOIDP si aucune rémunération n’est accordée. Cette situation peut être de nature à créer une inégalité de traitement par rapport aux autres membres du conseil d’administration, qui se verraient rétribués, alors que le représentant du personnel concerné ne serait ni indemnisé, ni ne pourrait être déchargé en temps pour accomplir son activité ou alors devoir, en sus, effectuer des heures supplémentaires pour l’accomplissement de son travail. Pour ce motif, l’art. 22 al. 2 LOIDP doit être interprété de manière à laisser au représentant du personnel concerné, et non aux autorités, le choix quant à la manière dont il entend être rétribué pour ses activités au sein du conseil d’administration, en temps ou en argent, en fonction de sa situation, ces deux modes pouvant être panachés mais non cumulés.</w:t>
      </w:r>
    </w:p>
    <w:p>
      <w:r>
        <w:t>- 17/18 - A/5011/2017 11) Mal fondé, le recours sera par conséquent rejeté, malgré les conclusions subsidiaires des recourants en interprétation conforme, dès lors que le recours, en matière de contrôle abstrait des normes, porte principalement sur l’annulation de la disposition contestée (ATF 137 I 167 ; arrêt du Tribunal fédéral 2C_862/2015 du 7 juin 2016 ; ACST/7/2016 du 19 mai 2016). 12) Il n’y a au demeurant pas lieu de joindre la présente cause à la n° A/4939/2017, les parties n’étant pas les mêmes. 13) Vu l’issue du litige, un émolument de CHF 2'000.- sera mis à la charge des recourants, pris solidairement,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