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ACST/12/2021 vom 15. April 2021</w:t>
      </w:r>
    </w:p>
    <w:p>
      <w:r>
        <w:t>GE Cour de justice, 2021-04-15, FR</w:t>
      </w:r>
    </w:p>
    <w:p>
      <w:r>
        <w:rPr>
          <w:b/>
        </w:rPr>
        <w:t xml:space="preserve">Quelle: </w:t>
      </w:r>
      <w:r>
        <w:t>https://mcp.opencaselaw.ch/entscheid/ge_gerichte_ACST_12_2021</w:t>
      </w:r>
    </w:p>
    <w:p>
      <w:r>
        <w:t>FR: GE_GERICHTE ACST/12/2021 du 15 avril 2021</w:t>
      </w:r>
    </w:p>
    <w:p>
      <w:r>
        <w:t>IT: GE_GERICHTE ACST/12/2021 del 15 aprile 2021</w:t>
      </w:r>
    </w:p>
    <w:p>
      <w:pPr>
        <w:pStyle w:val="Heading2"/>
      </w:pPr>
      <w:r>
        <w:t>Erwägungen</w:t>
      </w:r>
    </w:p>
    <w:p>
      <w:r>
        <w:rPr>
          <w:b/>
        </w:rPr>
        <w:t>E. 12</w:t>
      </w:r>
    </w:p>
    <w:p>
      <w:r>
        <w:t>septembre 1985 - LPA - E 5 10) s’appliquant en la matière, nonobstant le silence de la loi (ACST/17/2015 du 2 septembre 2015 consid. 3a). Il respecte en outre les conditions de forme et de contenu prévues par les art. 64 al. 1 et 65 al. 1 et 2 LPA.</w:t>
      </w:r>
    </w:p>
    <w:p>
      <w:r>
        <w:t>c. Le recours contre une décision relative à la validité d’une initiative rédigée de toutes pièces concerne le droit de vote des citoyens ainsi que les votations et élections au sens de l’art. 82 let. c de la loi fédérale sur le Tribunal fédéral du</w:t>
      </w:r>
    </w:p>
    <w:p>
      <w:r>
        <w:rPr>
          <w:b/>
        </w:rPr>
        <w:t>E. 17</w:t>
      </w:r>
    </w:p>
    <w:p>
      <w:r>
        <w:t>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 du Tribunal fédéral 1C_146/2020 du 7 août 2020 consid. 1 ; ACST/8/2020 du 6 février 2020 consid. 1c). En l’espèce, tel est le cas des recourants, tant s’agissant de Mme A______, citoyenne genevoise et membre du comité d’initiative, que dudit comité qui a lancé l’initiative.</w:t>
      </w:r>
    </w:p>
    <w:p>
      <w:r>
        <w:t>d. Le recours doit donc être déclaré recevable. 2)</w:t>
      </w:r>
    </w:p>
    <w:p>
      <w:r>
        <w:t>Le contrôle de la conformité au droit d’une initiative rédigée de toutes pièces s’apparente à un contrôle abstrait des normes. Il ne s’agit pas de prévenir uniquement que les citoyens soient exposés à être appelés à voter sur un objet, qui, d’emblée, ne pourrait pas être finalement concrétisé conformément à la volonté exprimée. Une initiative populaire législative formulée se transforme en</w:t>
      </w:r>
    </w:p>
    <w:p>
      <w:r>
        <w:t>- 8/17 -</w:t>
      </w:r>
    </w:p>
    <w:p>
      <w:r>
        <w:t>A/3058/2020</w:t>
      </w:r>
    </w:p>
    <w:p>
      <w:r>
        <w:t>loi si elle est acceptée par le Grand Conseil ou en votation populaire (art. 61 et 63 Cst-GE ; art. 122B, 123 et 123A de la loi portant règlement du Grand Conseil de la République et canton de Genève du 13 septembre 1985 - LRGC - B 1 01 ; art. 94 al. 3 et 4 de la loi sur l’exercice des droits politiques du 15 octobre 1982 - LEDP - A 5 05 ; art. 5 ss de la loi sur la forme, la publication et la promulgation des actes officiels du 8 décembre 1956 - LFPP - B 2 05),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w:t>
      </w:r>
    </w:p>
    <w:p>
      <w:r>
        <w:t>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145 I 26 consid. 1.4 ; arrêt du Tribunal fédéral 2C_752/2018 du 29 août 2019 consid. 2 ; ACST/8/2020 précité consid. 2). 3) a. Les trois conditions de validité d’une initiative que prévoit l’art. 60 de la Constitution de la République et canton de Genève du 14 octobre 2012 (Cst-GE - A 2 00) sont l’unité du genre, l’unité de la matière et la conformité au droit supérieur ; s’y ajoutent, déduites de la liberté de vote garantie par les art. 34 al. 2 de la Constitution fédérale de la Confédération suisse du 18 avril 1999 (Cst. - RS 101) et 44 Cst-GE, l’exigence de clarté du texte de l’initiative et celle d’exécutabilité de l’initiative (ATF 133 I 110 consid. 8 ; arrêt du Tribunal fédéral 1C_146/2020 précité consid. 3.1 ; ACST/8/2020 précité consid. 4a et les références citées).</w:t>
      </w:r>
    </w:p>
    <w:p>
      <w:r>
        <w:t>b. D’une manière générale, une initiative populaire cantonale, quelle que soit sa formulation, ne doit rien contenir de contraire au droit supérieur, qu’il soit cantonal, intercantonal, fédéral ou international (ATF 143 I 129 consid. 2.1). En vertu du principe de la primauté du droit fédéral ancré à l’art. 49 al. 1 Cst., les cantons ne sont pas autorisés à légiférer dans les matières exhaustivement réglementées par le droit fédéral. Dans les autres domaines, ils peuvent édicter des</w:t>
      </w:r>
    </w:p>
    <w:p>
      <w:r>
        <w:t>- 9/17 -</w:t>
      </w:r>
    </w:p>
    <w:p>
      <w:r>
        <w:t>A/3058/2020</w:t>
      </w:r>
    </w:p>
    <w:p>
      <w:r>
        <w:t>règles de droit, pour autant qu’elles ne violent ni le sens ni l’esprit du droit fédéral et qu’elles n’en compromettent pas la réalisation (ATF 143 I 129 consid. 2.1 ; arrêt du Tribunal fédéral 1C_174/2018 du 13 février 2019 consid. 3).</w:t>
      </w:r>
    </w:p>
    <w:p>
      <w:r>
        <w:t>c. Une initiative populaire doit être invalidée si son objet est impossible. En effet, il ne se justifie pas que le peuple se prononce sur un sujet qui n’est pas susceptible d’être exécuté. L’invalidation ne s’impose toutefois que dans les cas les plus évidents. L’obstacle à la réalisation doit être insurmontable : une difficulté relative est insuffisante, car c’est avant tout aux électeurs qu’il appartient d’évaluer les avantages et les inconvénients qui pourraient résulter de l’acceptation de l’initiative. Par ailleurs, l’impossibilité doit ressortir clairement du texte de l’initiative ; si celle-ci peut être interprétée de telle manière que les vœux des initiants soient réalisables, elle doit être considérée comme valable. L’impossibilité peut être matérielle ou juridique. S’agissant des initiatives tendant à la remise en cause de travaux, la jurisprudence considère qu’il n’y a pas inexécutabilité du simple fait que l’ouvrage est déjà commencé, mais qu’il y a impossibilité matérielle d’exécution lorsque l’ouvrage est en état d’achèvement (ATF 128 I 190 consid. 5 et les références citées ; arrêt du Tribunal fédéral 1C_146/2020 précité consid. 3.2).</w:t>
      </w:r>
    </w:p>
    <w:p>
      <w:r>
        <w:t>d. L’exigence de la clarté du texte de l’initiative découle de la liberté de vote garantie à l’art. 34 al. 2 Cst. ; les électeurs appelés à s’exprimer sur le texte de l’initiative doivent être à même d’en apprécier la portée, ce qui n’est pas possible si le texte est équivoque ou imprécis (ATF 133 I 110 consid. 8 ; arrêt du Tribunal fédéral 1C_146/2020 précité consid. 4.2).</w:t>
      </w:r>
    </w:p>
    <w:p>
      <w:r>
        <w:t>e. À teneur de l’art. 60 al. 4 Cst-GE, l’initiative dont une partie n’est pas conforme au droit est déclarée partiellement nulle si la ou les parties qui subsistent sont en elles-mêmes valides. À défaut, l’initiative est déclarée nulle. 4)</w:t>
      </w:r>
    </w:p>
    <w:p>
      <w:r>
        <w:t>Pour examiner la validité matérielle d’une initiative, la première règle d’interprétation est de prendre pour point de départ le texte de l’initiative, qu’il faut interpréter selon sa lettre et non pas selon la volonté des initiants (ATF 143 I 129 consid. 2.2 et les références citées).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(ATF 139 I 292 consid. 7.2.1). La volonté des auteurs doit être prise en compte, à tout le moins, dans la mesure où elle délimite le cadre de l’interprétation de leur texte et du sens que les signataires ont pu raisonnablement lui attribuer (ATF 139 I 292 consid. 7.2.5).</w:t>
      </w:r>
    </w:p>
    <w:p>
      <w:r>
        <w:t>Lorsque, à l’aide des méthodes reconnues, le texte d’une initiative se prête à une interprétation la faisant apparaître comme conforme au droit supérieur, elle doit être déclarée valable et être soumise au peuple. L’interprétation conforme</w:t>
      </w:r>
    </w:p>
    <w:p>
      <w:r>
        <w:t>- 10/17 -</w:t>
      </w:r>
    </w:p>
    <w:p>
      <w:r>
        <w:t>A/3058/2020</w:t>
      </w:r>
    </w:p>
    <w:p>
      <w:r>
        <w:t>doit ainsi permettre d’éviter autant que possible les déclarations d’invalidité (ATF 132 I 282 consid. 3.1). Tel est le sens de l’adage in dubio pro populo, selon lequel un texte n’ayant pas un sens univoque doit être interprété de manière à favoriser l’expression du vote populaire (ATF 143 I 129 consid. 2.2).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134 I 172 consid. 2.1).</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et les références citées ; arrêt du Tribunal fédéral 1C_174/2018 précité consid. 3). 5) a. La Confédération fixe les principes de l’harmonisation des impôts directs de la Confédération, des cantons et des communes ; elle prend en considération les efforts des cantons en matière d’harmonisation (art. 129 al. 1 Cst.). L’harmonisation s’étend à l’assujettissement, à l’objet et à la période de calcul de l’impôt, à la procédure et au droit pénal en matière fiscale. Les barèmes, les taux et les montants exonérés de l’impôt, notamment, ne sont pas soumis à l’harmonisation fiscale (art. 129 al. 2 Cst.).</w:t>
      </w:r>
    </w:p>
    <w:p>
      <w:r>
        <w:t>b.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œuvre l’harmonisation fiscale, doit ainsi veiller à ce que la réglementation concernant l’IFD et les lois fiscales cantonales concordent entre elles. Il doit user de sa compétence législative dans le domaine de l’IFD de telle manière que son propre régime fiscal soit en accord avec les règles contenues dans la LHID (ATF 130 II 65 consid. 5.2 et les références citées).</w:t>
      </w:r>
    </w:p>
    <w:p>
      <w:r>
        <w:t>Les caractéristiques du système juridique suisse exigent, en matière d’impôts, la cohérence des normes fiscales, fédérales et cantonales, ainsi que celle de leur interprétation. En effet, l’harmonisation fiscale a pour but de mettre sur</w:t>
      </w:r>
    </w:p>
    <w:p>
      <w:r>
        <w:t>- 11/17 -</w:t>
      </w:r>
    </w:p>
    <w:p>
      <w:r>
        <w:t>A/3058/2020</w:t>
      </w:r>
    </w:p>
    <w:p>
      <w:r>
        <w:t>pied un système fiscal cohérent de manière à permettre une vue d’ensemble de la législation fiscale. Cela exige des cantons qu’ils se conforment aux règles et à l’esprit de l’harmonisation. Le principe de cohérence veut également que l’on interprète le droit de l’IFD et le droit cantonal qui règle la même matière de manière à réaliser une harmonisation de la jurisprudence (ATF 130 II 65 consid. 5.2 et les références citées). En particulier, lorsque la disposition de droit fiscal cantonal est semblable à celle de la loi fédérale sur l’impôt fédéral direct du 14 décembre 1990 (LIFD - RS 642.11), il y a lieu, en vue d’une harmonisation verticale, d’interpréter la première de la même manière que celle relative à l’IFD, dont elle reprend la teneur (ATF 140 II 141 consid. 8 ; arrêt du Tribunal fédéral 2C_290/2015 du 24 avril 2015 consid. 5.1). 6) a. Sur cette base constitutionnelle, le législateur a adopté la LHID, qui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w:t>
      </w:r>
    </w:p>
    <w:p>
      <w:r>
        <w:t>b. L’art. 9 LHID traite des déductions pouvant être défalquées du revenu imposable et les énumère. Il ressort de la lettre de cette disposition que les déductions autorisées sur le revenu y sont réglées exhaustivement. Ainsi les dépenses d’acquisition du revenu (déductions organiques) sont définies à l’art. 9 al. 1 LHID. L’art. 9 al. 2 LHID donne une liste exhaustive des déductions sociopolitiques autorisées (déductions générales ou anorganiques), qui ne sont pas liées directement à l’acquisition du revenu, mais à la détermination de la capacité contributive subjective. Elles sont accordées en général pour des motifs extra-fiscaux, jusqu’à un montant déterminé, les dépenses pour lesquelles elles sont admises constituant une utilisation du revenu (arrêts du Tribunal fédéral 2C_256/2018 du 14 septembre 2020 consid. 8.3 ; 2C_162/2010 du 21 juillet 2010 consid. 6.3). Elles doivent être interprétées restrictivement (arrêt du Tribunal fédéral 2C_404/2020 du 16 décembre 2020 consid. 3.3.1 et les références citées).</w:t>
      </w:r>
    </w:p>
    <w:p>
      <w:r>
        <w:t>En font partie les versements, cotisations et primes d’assurance-vie, d’assurance-maladie et d’assurance-accidents ainsi que les intérêts des capitaux d’épargne du contribuable et des personnes à l’entretien desquelles il pourvoit, jusqu’à concurrence d’un montant déterminé par le droit cantonal, qui peut revêtir la forme d’un forfait (let. g). Les cantons ont l’obligation de reprendre ces déductions au plan cantonal, une compétence cantonale n’étant réservée que dans certains cas et son étendue expressément limitée au choix des montants des déductions. L’art. 9 al. 2 let. g LHID ne laisse aucune autre marge de manœuvre aux cantons (arrêt du Tribunal fédéral 2C_162/2010 précité consid. 5.1). Il résulte en particulier du texte de la LHID, qui prévoit la déduction « jusqu’à concurrence</w:t>
      </w:r>
    </w:p>
    <w:p>
      <w:r>
        <w:t>- 12/17 -</w:t>
      </w:r>
    </w:p>
    <w:p>
      <w:r>
        <w:t>A/3058/2020</w:t>
      </w:r>
    </w:p>
    <w:p>
      <w:r>
        <w:t>d’un montant déterminé par le droit cantonal », que les cantons sont tenus de limiter le montant des déductions générales prévues à l’art. 9 al. 2 let. g LHID (arrêt du Tribunal fédéral 2C_162/2010 précité consid. 6.1), de manière à respecter le sens et l’esprit de cette disposition, même si la LHID ne donne aucune précision sur le montant que les cantons doivent fixer dans leur législation (arrêt du Tribunal fédéral 2P.170/2003 précité consid. 7.2).</w:t>
      </w:r>
    </w:p>
    <w:p>
      <w:r>
        <w:t>Dans ce cadre, le Tribunal fédéral a déjà jugé que les primes d’assurances de rente viagère visées à l’art. 9 al. 2 let. g LHID ne pouvaient faire l’objet que d’une déduction très partielle, et que des plafonds si élevés qu’ils autorisaient de fait les contribuables à déduire le plus souvent l’intégralité de primes périodiques substantielles ainsi qu’une partie appréciable, voire la totalité, des primes uniques, n’était pas admissible sous l’angle de la LHID. De plus, de tels montants étaient sans commune mesure avec les limites aménagées par la LIFD, laquelle constituait un élément d’interprétation de poids dans un but d’harmonisation verticale poursuivi par la LHID (arrêt du Tribunal fédéral 2P.170/2003 précité consid. 6 et 7.2). Le Tribunal fédéral a en outre considéré que l’obligation faite aux citoyens de souscrire une assurance-maladie ne conduisait pas à une déduction complète des primes relatives à l’assurance obligatoire, contrairement à ce qui était le cas de la pleine déduction des primes des deux piliers obligatoires de la prévoyance vieillesse (arrêt du Tribunal fédéral 2C_162/2010 précité consid. 6.4).</w:t>
      </w:r>
    </w:p>
    <w:p>
      <w:r>
        <w:t>Selon la jurisprudence, les cantons ne sont pas complètement libres dans l’exercice de la liberté d’organisation que leur confère la LHID (ATF 133 I 210 consid. 5). Ils doivent observer les droits fondamentaux, en particulier le droit à l’égalité de traitement (art. 8 al. 1 Cst.) et ses corollaires en matière fiscale, parmi lesquels figure le principe d’imposition selon la capacité économique (art. 127 al. 2 Cst.). Il en va de même lorsque les cantons sont appelés à limiter la déduction prévue par l’art. 9 al. 2 let. g LHID : ils doivent faire usage de leur liberté dans les limites des droits fondamentaux (arrêt du Tribunal fédéral 2C_162/2010 précité consid. 6.2).</w:t>
      </w:r>
    </w:p>
    <w:p>
      <w:r>
        <w:t>c. Finalement, l’art. 9 al. 4 LHID indique qu’aucune autre déduction ne sera admise, à l’exception des déductions pour enfants et autres déductions sociales qui sont les seules à demeurer dans la compétence exclusive des cantons (arrêt du Tribunal fédéral 2C_686/2018 du 21 janvier 2019 consid. 5.2). La teneur de cette disposition laisse une grande marge de manœuvre au législateur cantonal dans la mise en place des déductions sociales, qui relèvent du droit cantonal autonome. Constituent des déductions sociales celles qui ne tiennent pas compte des dépenses effectives mais du statut social du contribuable et de l’influence que ce statut produit sur la capacité économique individuelle (ATF 131 I 377 consid. 4.2). Il s’agit, en d’autres termes, d’équilibrer la charge fiscale entre divers groupes de contribuables, selon leur capacité économique. Ce sont autant</w:t>
      </w:r>
    </w:p>
    <w:p>
      <w:r>
        <w:t>- 13/17 -</w:t>
      </w:r>
    </w:p>
    <w:p>
      <w:r>
        <w:t>A/3058/2020</w:t>
      </w:r>
    </w:p>
    <w:p>
      <w:r>
        <w:t>d’ajustements légaux de la charge fiscale qui montrent que le législateur a distingué les catégories de contribuables en fonction de leur capacité économique de façon à établir entre elles – et sous cet angle restreint – une certaine égalité de traitement (ATF 141 II 338 consid. 4.5 ; arrêt du Tribunal fédéral 2C_686/2018 précité consid. 5.3).</w:t>
      </w:r>
    </w:p>
    <w:p>
      <w:r>
        <w:t>d. Par ailleurs, selon l’art. 72 al. 1 LHID, les cantons doivent adapter leur législation aux dispositions de la LHID dans les huit ans qui suivent l’entrée en vigueur de la loi le 1er janvier 1993, à savoir jusqu’au 1er janvier 2001. Dès cette date, la LHID déploie pleinement ses effets et les cantons doivent disposer d’une législation fiscale conforme. À l’expiration de ce délai, le droit fédéral est directement applicable si les dispositions du droit fiscal cantonal s’en écartent, le gouvernement cantonal édictant les dispositions provisoires nécessaires (art. 72 al. 2 et 3 LHID). 7)</w:t>
      </w:r>
    </w:p>
    <w:p>
      <w:r>
        <w:t>L’art. 33 al. 1 let. g LIFD prévoit pour sa part que sont déduits du revenu, les versements, cotisations et primes d’assurances-vie, d’assurance-maladie, d’assurance-accidents n’entrant pas dans le champ d’application des déductions pour les primes et cotisations versées en vertu de la réglementation sur les allocations pour perte de gain, des dispositions sur l’assurance-chômage et l’assurance-accidents obligatoire, ainsi que les intérêts des capitaux d’épargne du contribuable et des personnes à l’entretien desquelles il pourvoit, jusqu’à concurrence d’un montant global de CHF 3'500.- pour les époux vivant en ménage commun (ch. 1) et de CHF 1'700.- pour les autres contribuables (ch. 2). Il n’existe pas de différence significative entre cette disposition et l’art. 9 al. 2 let. g LHID, hormis les montants maximaux déductibles mentionnés à l’art. 33 al. 1 let. g LIFD (arrêt du Tribunal fédéral 2C_429/2008 du 10 décembre 2008 consid. 7). 8)</w:t>
      </w:r>
    </w:p>
    <w:p>
      <w:r>
        <w:t>En droit genevois, la LIPP régit la perception de l’impôt sur le revenu et l’impôt sur la fortune des personnes physiques (art. 1 LIPP).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(art. 28 LIPP). En font partie les déductions de santé visées à l’art. 32 LIPP, en particulier les primes d’assurances-maladie et celles d’assurance-accidents du contribuable et des personnes à sa charge, à concurrence d’un montant équivalant, pour l’année fiscale considérée, au double de la prime moyenne cantonale relative à l’assurance obligatoire des soins déterminée par l’office fédéral de la santé publique par classe d’âge des assurés (let. a). 9)</w:t>
      </w:r>
    </w:p>
    <w:p>
      <w:r>
        <w:t>En l’espèce, l’autorité intimée a déclaré l’IN 175 nulle, considérant qu’elle était contraire à la LHID en tant qu’elle prévoyait un montant forfaitaire</w:t>
      </w:r>
    </w:p>
    <w:p>
      <w:r>
        <w:t>- 14/17 -</w:t>
      </w:r>
    </w:p>
    <w:p>
      <w:r>
        <w:t>A/3058/2020</w:t>
      </w:r>
    </w:p>
    <w:p>
      <w:r>
        <w:t>déductible trop élevé et qu’elle ne permettait plus la déductibilité des primes d’assurance-accidents, ce que les recourants contestent.</w:t>
      </w:r>
    </w:p>
    <w:p>
      <w:r>
        <w:t>L’IN 175, entièrement rédigée, vise à remplacer l’actuel art. 32 let. a LIPP par une nouvelle disposition prévoyant une déduction forfaitaire correspondant au double de la prime moyenne cantonale de l’assurance-maladie obligatoire des soins pour le contribuable et les personnes à sa charge durant l’année fiscale en cause. Elle implique ainsi de modifier le mode de déduction des primes d’assurance-maladie, en faisant passer celles-ci d’un montant maximal admissible à un montant forfaitaire. Une telle possibilité est toutefois réservée à l’art. 9 al. 2 let. g LHID, qui permet aux cantons de prévoir que le montant de la déduction pour les primes visées par cette disposition puisse revêtir la forme d’un forfait, ce qui n’est du reste pas contesté, seul l’étant le plafond ainsi fixé.</w:t>
      </w:r>
    </w:p>
    <w:p>
      <w:r>
        <w:t>Si l’art. 9 al. 2 let. g LHID ne laisse aucune marge de manœuvre en faveur des cantons autre que la possibilité de fixer le montant des déductions, ils n’en sont pas moins tenus de plafonner celles-ci, comme le rappelle le texte de cette disposition ainsi que la jurisprudence. Les cantons ne sont pas non plus totalement libres dans la limitation dudit montant. Le Tribunal fédéral a ainsi jugé que la déduction des primes d’assurance de rente viagère ne pouvait être que très partielle et que des plafonds si élevés qu’ils autorisaient de fait les contribuables à déduire une partie appréciable, voire la totalité desdites primes n’était pas admissible sous l’angle de la LHID. Quoi qu’en disent les recourants, cette jurisprudence est également applicable à la déduction des primes d’assurance-maladie et d’assurance-accidents facultative, visées à l’art. 9 al. 2 let. g LHID aux côtés des versements, cotisations et primes d’assurance-vie, comme les primes d’assurances de rente viagère, ainsi que les intérêts des capitaux d’épargne. À cela s’ajoute que le Tribunal fédéral a également précisé que l’obligation faite de souscrire une assurance-maladie n'était pas synonyme de déduction complète des primes y relatives.</w:t>
      </w:r>
    </w:p>
    <w:p>
      <w:r>
        <w:t>Une telle interprétation restrictive de la déductibilité des primes d’assurance-maladie s’inscrit dans le cadre de la LHID. Il s’agit en effet de déductions générales ou anorganiques, non liées à l’acquisition du revenu mais à la détermination de la capacité contributive subjective, les dépenses pour lesquelles elles sont accordées constituant une utilisation du revenu. À ce titre, elles ne sauraient outrepasser les montants effectivement payés par le contribuable pour ce faire, sous peine de contredire le sens et l’esprit de la LHID et de permettre dans les faits des déductions bien plus importantes que celles exhaustivement énumérées par cette loi (art. 9 al. 4 LHID).</w:t>
      </w:r>
    </w:p>
    <w:p>
      <w:r>
        <w:t>À cela s’ajoute que la LIFD prévoit également une déductibilité très partielle des primes d’assurance-maladie et d’assurance-accidents à concurrence d’un montant global de CHF 3'500.- pour les époux vivant en ménage commun et de CHF 1'700.- pour les autres contribuables. Le principe de cohérence veut ainsi</w:t>
      </w:r>
    </w:p>
    <w:p>
      <w:r>
        <w:t>- 15/17 -</w:t>
      </w:r>
    </w:p>
    <w:p>
      <w:r>
        <w:t>A/3058/2020</w:t>
      </w:r>
    </w:p>
    <w:p>
      <w:r>
        <w:t>que dans un souci d’harmonisation verticale, le droit cantonal soit interprété de la même manière que le droit fédéral, étant précisé qu’il n’existe aucune différence significative entre l’art. 33 al. 1 let. g LIFD et l’art. 9 al. 2 let. g LHID.</w:t>
      </w:r>
    </w:p>
    <w:p>
      <w:r>
        <w:t>La modification projetée de l’art. 32 let. a LIPP vise à déduire un montant forfaitaire correspondant au double de la prime moyenne cantonale de l’assurance-maladie obligatoire des soins telle que définie par le DFI chaque année, sans égard aux primes effectivement payées par les contribuables pour l’année en cause, comme les recourants l’ont exposé, chiffres à l’appui, dans leur recours. Pour les motifs ci-dessus mentionnés, un tel mécanisme, qui vise en réalité à diminuer le revenu imposable d’un montant forfaitaire largement supérieur aux frais effectifs des primes d’assurance-maladie et cherche, ce faisant, à faire pression sur les autorités politiques afin qu’elles entreprennent les démarches nécessaires en vue de la diminution desdites primes, n’est pas conforme à la LHID. C’est dès lors à juste titre que le Conseil d’État est arrivé à la conclusion que l’art. 32 let. a de l’IN 175 était contraire au droit supérieur pour ce motif déjà, ce que l’AFC-CH a également relevé dans ses observations.</w:t>
      </w:r>
    </w:p>
    <w:p>
      <w:r>
        <w:t>La modification projetée de la LIPP ne saurait entrer dans le cadre des déductions sociales réservées par l’art. 9 al. 4 LHID, de la compétence des cantons, comme l’a suggéré l’AFC-CH dans son courrier du 28 mai 2020. Étant donné que les cantons sont tenus de prévoir les déductions mentionnées à l’art. 9 al. 2 LHID dans leur législation et, qu’à défaut, le droit fédéral est directement applicable, un tel raisonnement conduirait alors à déduire deux fois les mêmes dépenses, la première fois par le biais du droit fédéral applicable et la deuxième fois par les déductions sociales réservées. Une telle situation conduirait en définitive à une double déduction du même montant, ce qui contournerait les limites impératives fixées par l’art. 9 LHID et entraverait l’application du droit harmonisé sur ce point.</w:t>
      </w:r>
    </w:p>
    <w:p>
      <w:r>
        <w:t>Le même raisonnement doit être suivi s’agissant de la déductibilité des primes d’assurance-accidents, qui ne peuvent être considérées comme des déductions sociales cantonales, puisqu’elles sont mentionnées à l’art. 9 al. 2 let. g LHID, aux côtés des primes d’assurance-maladie.</w:t>
      </w:r>
    </w:p>
    <w:p>
      <w:r>
        <w:t>Dans ce cadre, la modification projetée de la LIPP, contrairement à la teneur actuelle de l’art. 32 let. a LIPP, ne fait aucune mention de la déduction de ces primes, alors même qu’elles sont visées à l’art. 9 al. 2 let. g LHID. Les recourants soutiennent qu’elles seraient comprises dans le montant forfaitaire permettant la déduction des primes d’assurance-maladie. Si rien ne s’oppose à ce qu’un même forfait couvre plusieurs déductions, il n’en demeure pas moins que celles en lien avec l’assurance-accident sont absentes du texte et du titre de l’initiative, de même que de l’exposé des motifs, qui n’en fait aucune mention. C’est d’ailleurs dans ce sens que l’AFC-CH a compris la modification projetée, raison pour laquelle elle a indiqué que le droit fédéral harmonisé serait alors directement applicable sur ce</w:t>
      </w:r>
    </w:p>
    <w:p>
      <w:r>
        <w:t>- 16/17 -</w:t>
      </w:r>
    </w:p>
    <w:p>
      <w:r>
        <w:t>A/3058/2020</w:t>
      </w:r>
    </w:p>
    <w:p>
      <w:r>
        <w:t>point. Il en résulte davantage une contrariété de l’initiative tant au principe de clarté qu’au droit supérieur, dès lors que les électeurs ne sont pas réellement en mesure d’apprécier la portée du texte ni ses implications fiscales. L’on peut ainsi raisonnablement déduire du texte de l’initiative, tout comme d’ailleurs de son intitulé ainsi que de l’exposé des motifs, que les citoyens qui ont signé le texte de l’initiative pouvaient la comprendre comme la déductibilité des seules primes d’assurance-maladie et non pas comme englobant également les primes d’assurance-accidents. L’interprétation que veulent lui donner les recourants ne permet pas d’éliminer ces carences, pas plus qu’elle n’est en mesure de remédier à son absence de conformité au droit supérieur, conformément aux développements qui précèdent.</w:t>
      </w:r>
    </w:p>
    <w:p>
      <w:r>
        <w:t>Par ailleurs, le fait que le Conseil d’État ait laissé la question de la clarté de l’initiative ouverte ne permet pas de conclure à une violation de son obligation de motivation, comme semblent le soutenir les recourants, puisqu’il a traité la question de manière circonstanciée, sans toutefois en tirer de conclusion quant au sort du texte projeté. Il en va de même s’agissant de l’exécutabilité de l’initiative, étant toutefois précisé que celle-ci ne saurait être déniée du seul fait, pour les autorités, d’adopter des dispositions urgentes, en application de la LHID, en vue de la mise en œuvre de la modification projetée, ce qui ne constitue qu’une difficulté relative. Le Conseil d’État n’a au demeurant pas invalidé l’initiative en raison de son absence de conformité à ces ceux principes, mais du fait qu’elle ne respecte pas le droit supérieur.</w:t>
      </w:r>
    </w:p>
    <w:p>
      <w:r>
        <w:t>Étant donné les carences dont souffre l’art. 32 let. a LIPP projeté, disposition unique de l’initiative, c’est à juste titre que le Conseil d’État a invalidé celle-ci et considéré l’IN 175 comme nulle.</w:t>
      </w:r>
    </w:p>
    <w:p>
      <w:r>
        <w:t>Il s’ensuit que le recours sera rejeté. 10) Vu l’issue du litige, un émolument de CHF 1'000.-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