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ACST/12/2017 vom 6. Juli 2017</w:t>
      </w:r>
    </w:p>
    <w:p>
      <w:r>
        <w:t>GE Cour de justice, 2017-07-06, FR</w:t>
      </w:r>
    </w:p>
    <w:p>
      <w:r>
        <w:rPr>
          <w:b/>
        </w:rPr>
        <w:t xml:space="preserve">Quelle: </w:t>
      </w:r>
      <w:r>
        <w:t>https://mcp.opencaselaw.ch/entscheid/ge_gerichte_ACST_12_2017</w:t>
      </w:r>
    </w:p>
    <w:p>
      <w:r>
        <w:t>FR: GE_GERICHTE ACST/12/2017 du 6 juillet 2017</w:t>
      </w:r>
    </w:p>
    <w:p>
      <w:r>
        <w:t>IT: GE_GERICHTE ACST/12/2017 del 6 luglio 2017</w:t>
      </w:r>
    </w:p>
    <w:p>
      <w:pPr>
        <w:pStyle w:val="Heading2"/>
      </w:pPr>
      <w:r>
        <w:t>Erwägungen</w:t>
      </w:r>
    </w:p>
    <w:p>
      <w:r>
        <w:rPr>
          <w:b/>
        </w:rPr>
        <w:t>E. 2</w:t>
      </w:r>
    </w:p>
    <w:p>
      <w:r>
        <w:t>novembre 2016. Sa conclusion présentée comme principale, visant le règlement attaqué dans son ensemble, est manifestement mal fondée sinon irrecevable et doit être écartée d’emblée (ACST/5/2017 du 12 avril 2017 consid. 1c ; ACST/1/2015 précité consid. 4b ; sur le principe d’allégation devant le Tribunal fédéral, cf. art. 106 al. 2 de la loi fédérale sur le Tribunal fédéral du 17 juin 2005 - LTF - RS 173.110 ; François CHAIX, Les motifs du recours en matière de droit public, in François BOHNET / Denis TAPPY [éd.], Dix ans de la Loi sur le Tribunal fédéral, 2017, p. 187 ss n. 53 ss).</w:t>
      </w:r>
    </w:p>
    <w:p>
      <w:r>
        <w:t>d. A qualité pour former un recours en contrôle abstrait de normes cantonales devant la chambre constitutionnelle toute personne (physique ou morale) dont les intérêts sont effectivement touchés par l’acte attaqué ou pourraient l’être un jour avec un minimum de vraisemblance et ont un intérêt actuel ou virtuel digne de protection à leur annulation, au moins aux mêmes conditions que celles qui prévalent devant le Tribunal fédéral (art. 60 al. 1 let. b LPA ; art. 89 et 111 al. 1 LTF ; ATF 139 II 233 consid. 5.2 ; 138 I 435 consid. 1.6 ; 135 II 243 consid. 1.2 ; ACST/5/2017 précité consid. 1d ; ACST/3/2017 précité consid. 2 et 4d ; ACST/10/2016 du 29 août 2016 consid. 1c ; ACST/19/2015 du 15 octobre 2015</w:t>
      </w:r>
    </w:p>
    <w:p>
      <w:r>
        <w:t>- 9/25 - A/4202/2016 consid. 2b ; Étienne POLTIER, Les actes attaquables et la légitimation à recourir en matière de droit public, in François BOHNET / Denis TAPPY [éd.], op. cit., p. 123 ss, 151 ss ; Bernard CORBOZ et al. [éd.], Commentaire de la LTF, 2ème éd., 2014, n. 11 ad art. 89 LTF ; Michel HOTTELIER / Thierry TANQUEREL, La Constitution genevoise du 14 octobre 2012, SJ 2014 II 341- 385, p. 380 ; Marcel Alexander NIGGLI / Peter UEBERSAX / Hans WIPRÄCHTIGER [éd.], Bundesgerichtsgesetz, 2ème éd., 2011, p. 1177 n. 13 ad art. 89 LTF).</w:t>
      </w:r>
    </w:p>
    <w:p>
      <w:r>
        <w:t>Une association ayant la personnalité juridique est habilitée à recourir soit lorsqu’elle est intéressée elle-même à l’issue de la procédure, soit lorsqu’elle sauvegarde les intérêts de ses membres. Dans ce dernier cas, qui est celui du recours dit corporatif, la défense des intérêts de ses membres doit figurer parmi ses buts statutaires et la majorité de ceux-ci, ou du moins une grande partie d’entre eux, doivent être personnellement touchés par l’acte attaqué, actuellement ou à l’avenir avec un minimum de vraisemblance, et avoir qualité pour recourir à titre individuel (ATF 137 II 40 consid. 2.6.4 ; 131 I 198 consid. 2.1 ; 130 I 26 consid. 1.2.1 ; ACST/10/2016 précité consid. 1c ; ACST/7/2016 du 19 mai 2016 consid. 4c et les arrêts cités ; Piermarco ZEN-RUFFINEN, Droit administratif. Partie générale et éléments de procédure, 2ème éd., 2013, p. 317 n. 1312 ; Thierry TANQUEREL, Manuel de droit administratif, 2011, n. 1384 p. 455 ; Pierre MOOR / Étienne POLTIER, Droit administratif, vol. II, 2011, p. 751).</w:t>
      </w:r>
    </w:p>
    <w:p>
      <w:r>
        <w:t>e. En l’espèce, l’association recourante interjette un recours corporatif. Elle a la personnalité juridique ; un grand nombre de ses membres, qui sont pour la plupart des promoteurs constructeurs immobiliers, sont susceptibles de se voir appliquer un jour les art. 254 al. 1 et/ou 257 al. 1 et al. 10 RCI ; il se déduit des statuts de l’association recourante que cette dernière a vocation pour défendre les intérêts de ses membres. La qualité pour recourir doit donc lui être reconnue.</w:t>
      </w:r>
    </w:p>
    <w:p>
      <w:r>
        <w:t>Patp a également qualité pour recourir, étant personnellement touchée par les dispositions contestées, en tant qu’elle est inscrite au registre du commerce comme une personne morale et peut être amenée, dans le cadre de ses activités, à solliciter des autorisations de construire ou des demandes de renseignement soumises aux émoluments prévus par les dispositions contestées.</w:t>
      </w:r>
    </w:p>
    <w:p>
      <w:r>
        <w:t>Le recours est donc recevable. 2)</w:t>
      </w:r>
    </w:p>
    <w:p>
      <w:r>
        <w:t>Lorsqu’elle se prononce dans le cadre d’un contrôle abstrait des normes, la chambre constitutionnelle, à l’instar du Tribunal fédéral,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w:t>
      </w:r>
    </w:p>
    <w:p>
      <w:r>
        <w:t>- 10/25 - A/4202/2016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du 7 juin 2016 consid. 3 ; 1C_223/2014 du 15 janvier 2015 consid. 4 ; 2C_668/2013 du 19 juin 2014 consid. 2.2 ; ACST/7/2016 précité consid. 8 ; ACST/19/2015 précité consid. 3 ; ACST/2/2014 du 17 novembre 2014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 3) a.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(ATF 138 II 70 consid. 6.1 = RDAF 2013 I 584 ; 137 I 257 consid. 6.1.1 ; arrêts du Tribunal fédéral 2C_439/2014 du 22 décembre 2014 consid. 6.1 ; 2C_612/2013 du 16 juillet 2013 consid. 4. 2 ; 2C_24/2012 du 12 avril 2012 consid. 4.1 ; 2A.304/2001 du 22 novembre 2001 ; Jacques DUBEY / Jean- Baptiste ZUFFEREY, Droit administratif général, 2014, n. 1825 ss ; Xavier OBERSON, Droit fiscal suisse, 4ème éd., 2012, p. 3 ss ; Arlette STIEGER, Les contributions publiques genevoises, in Actualités juridiques de droit public 2011, p. 77 ss ; Ulrich HÄFELIN / Georg MÜLLER / Felix UHLMANN, Allgemeines</w:t>
      </w:r>
    </w:p>
    <w:p>
      <w:r>
        <w:t>- 11/25 - A/4202/2016 Verwaltungsrecht, 6ème éd., 2010, n. 2623 ss ; Adrian HUNGERBÜHLER, Grundsätze des Kausalabgabenrechts, ZBl 104/2003 p. 505 ss, 507 ss, 512 ss ; Ernst BLUMENSTEIN / Peter LOCHER, System des schweizerischen Steuerrechts, 6ème éd., 2002, p. 5 s.). Les émoluments de chancellerie sont des contributions modiques exigées en contrepartie d’un travail administratif ne nécessitant pas un examen approfondi, essentiellement de secrétariat (Jacques DUBEY / Jean-Baptiste ZUFFEREY, op. cit., n. 1827 s. et 1831 ss ; Thierry TANQUEREL, op. cit., n. 239 ss ; Ulrich HÄFELIN / Georg MÜLLER / Felix UHLMANN, op. cit., n. 2624 s. et 2626 ss ; Pierre MOOR, Droit administratif, vol. III, 1992, p. 364).</w:t>
      </w:r>
    </w:p>
    <w:p>
      <w:r>
        <w:t>Les taxes d'orientation (ou d'incitation ; ATF 135 I 130 consid. 2 ; 121 I 230 consid. 3e ; arrêt du Tribunal fédéral 2C_768/2015 du 17 mars 2017 consid. 4.1 ; 2C_483/2015 du 22 mars 2016 consid. 4.1 ; Xavier OBERSON, op. cit., p. 4, 6, 17, 32, 56 et 467 ; Ernest BLUMENSTEIN/Peter LOCHER, op. cit., p. 5 s.) sont des contributions (impôts ou taxes) destinées de façon exclusive ou prépondérante à modifier le comportement des particuliers en vue d'atteindre un objectif voulu par le législateur (arrêt du Tribunal fédéral 2C_466/2008 du 10 juillet 2009 consid. 4.2.31 ; Ernst HÖHN / Robert WALDBURGER, Steuerrecht, 2002, § 1 n. 6 ; Adrian HUNGERBÜHLER, op. cit., p. 514). Leur but principal n'est pas prioritairement de procurer des ressources supplémentaires à l'État, mais d'agir sur le comportement des citoyens (Jean-Marc RIVIER, Droit fiscal suisse. L’imposition du revenu et de la fortune, 2ème éd., 1998, p. 5 ; Michael BEUSCH, Lenkungsabgaben im Strassenverkehr, 1999, p. 102). Pour le Tribunal fédéral, les critères de distinction habituels entre les impôts et les taxes demeurent également pertinents pour désigner les contributions ayant une composante incitative (ATF 125 I 182 consid. 4c ; 122 I 279 consid. 2d ;121 I 129 consid. 3a).</w:t>
      </w:r>
    </w:p>
    <w:p>
      <w:r>
        <w:t>b. La perception de contributions publiques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la bonne foi et de l’interdiction de l’arbitraire (art. 9 Cst.), ainsi que de la non-rétroactivité. Le principe de la légalité en droit fiscal est érigé en droit constitutionnel indépendant par l’art. 127 al. 1 Cst., qui pose en la matière des exigences de densité normative en tant qu’il prévoit que la loi doit définir les principes généraux régissant le régime fiscal, notamment la qualité de contribuable, l’objet de l’impôt et son mode de calcul. Le principe de la légalité est applicable à toutes les contributions publiques, fédérales, cantonales et communales, y compris aux contributions de nature causale, quoique dans certains cas avec des assouplissements (ATF 135 I 130 consid. 7.2 ; 125 I 173 consid. 9 ; 123 I 254 consid. 2b/aa ; arrêts du Tribunal fédéral 2C_501/2015 et 2C_512/2015 du 17 mars 2017 [destiné à la publication] consid. 4.2 ; 2C_729/2008 du 3 mars 2009 consid. 3.1 ; Xavier OBERSON, op. cit., p. 30 ss n. 2, p. 34 n. 17 et p. 55</w:t>
      </w:r>
    </w:p>
    <w:p>
      <w:r>
        <w:t>- 12/25 - A/4202/2016 n. 77 ; Arlette STIEGER, op. cit., p. 94), et exception étant faite pour les émoluments de chancellerie (ATF 125 I 173 consid. 9b ; 112 Ia 39 consid. 2a ; 107 Ia 29 consid. 2c ; 104 Ia 113 consid. 3 ; 93 I 632 consid. 3 ; 82 I 21 consid. 3a ; Thierry TANQUEREL, op. cit., n. 241 ; RDAF 1977, p. 58 ; Pierre MOOR, op. cit., p. 364 ; Blaise KNAPP, Précis de droit administratif, 4ème éd., 1991, n. 2780).</w:t>
      </w:r>
    </w:p>
    <w:p>
      <w:r>
        <w:t>c. Pour certaines redevances causales, les exigences découlant du principe de la légalité sont moins strictes qu’en matière d’impôts, s’agissant non de la qualité de contribuable et de l’objet de la contribution, qui doivent toujours être définis dans une loi formelle, mais du mode de calcul desdites redevances, qui peut être délégué plus facilement à l’exécutif dans la mesure où les principes constitutionnels précités permettent suffisamment de contrôler leur montant. Le principe de la légalité ne doit cependant pas être vidé de sa substance ni, inversement, être appliqué avec une exagération telle qu’il entrerait en contradiction avec la réalité juridique et les exigences de la pratique (ATF 135 I 130 consid. 7.2 ; arrêts du Tribunal fédéral 2C_501/2015 et 2C_512/2015 précités consid. 4.2.1).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126 I 180 consid. 3 ; 112 Ia 39 consid. 2 ; 104 Ia 113 consid. 3 ; 99 Ia 697 consid. 2 ; ACST/19/2015 précité consid. 6 ; Jacques DUBEY / Jean-Baptiste ZUFFEREY, op. cit., n. 1850 ss ; Xavier OBERSON, op. cit., p. 56 s. ; Thierry TANQUEREL, op. cit., n. 249 et 482 ss ; Ulrich HÄFELIN / Georg MÜLLER / Felix UHLMANN, op. cit., n. 2625a ss ; Adrian HUNGERBÜHLER, op. cit., p. 516 ; Pierre MOOR, op. cit., p. 367). Ces assouplissements ne s’appliquent pas à des contributions causales telles que les émoluments d’utilisation du domaine public et les taxes de préférence (arrêt du Tribunal fédéral 2C_609/2010 du 18 juin 2011 consid. 3.2 ; Arlette STIEGER, op. cit., p. 96 ; François BELLANGER, Commerce et domaine public, in François BELLANGER / Thierry TANQUEREL [éd.], Le domaine public, 2004, p. 43 ss, 54).</w:t>
      </w:r>
    </w:p>
    <w:p>
      <w:r>
        <w:t>d. Selon le principe de la couverture des frais, le produit global des contributions causales ne doit pas dépasser, ou seulement de très peu, l’ensemble des coûts engendrés par la subdivision concernée de l’administration (ATF 135 I 130 consid. 2 ; 126 I 180 consid. 3a ; 106 Ia 249 consid. 3a ; 102 Ia 397 consid. 5b ; arrêts du Tribunal fédéral 2C_519/2013 du 3 septembre 2013 consid. 5.1 ; 2C_609/2010 précité consid. 3.2 ; Jacques DUBEY / Jean-Baptiste ZUFFEREY, op. cit., n. 1845 ; Pierre TSCHANNEN / Ulrich ZIMMERLI / Markus MÜLLER, Allgemeines Verwaltungsrecht, 4ème éd., 2014, § 58 n. 13 ss ; Xavier OBERSON, op. cit., p. 57 n. 81 ; Thierry TANQUEREL, op. cit., p. 83 s. n. 254 ; Ulrich HÄFELIN / Georg MÜLLER / Felix UHLMANN, op. cit., n. 2637 ; Pierre MOOR, op. cit., p. 368). Les dépenses à prendre en compte ne se</w:t>
      </w:r>
    </w:p>
    <w:p>
      <w:r>
        <w:t>- 13/25 - A/4202/2016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(ATF 120 Ia 171 consid. 2a ; arrêt du Tribunal fédéral 5A_55/2008 du 22 avril 2008 consid. 5.1 ; ACST/19/2015 précité consid. 7). La subdivision administrative concernée se définit par référence à toutes les tâches administratives matériellement liées les unes aux autres, formant un ensemble cohérent (Ulrich HÄFELIN / Georg MÜLLER / Felix UHLMANN, op. cit., n. 2637 ; Adrian HUNGERBÜHLER, op. cit., p. 520 s.).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 Xavier OBERSON, op. cit., p. 57 n. 81).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op. cit., p. 368).</w:t>
      </w:r>
    </w:p>
    <w:p>
      <w:r>
        <w:t>e.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consid. 2.3 = RDAF 2005 I 747 ; 118 Ib 349 consid. 5 ; arrêt du Tribunal fédéral 2C_609/2010 précité consid. 3.2 ; Jacques DUBEY / Jean-Baptiste ZUFFEREY, op. cit., n. 1848 ; Pierre TSCHANNEN / Ulrich ZIMMERLI / Markus MÜLLER, op. cit., § 58 n. 19 ss ; Xavier OBERSON, op. cit., p. 57 n. 82 ; Ulrich HÄFELIN / Georg MÜLLER / Felix UHLMANN, op. cit., n. 2641 ; Adrian HUNGERBÜHLER, op. cit., p. 522 s. ; Pierre MOOR, op. cit., p. 369). Autrement dit, il faut que les contributions causales soient répercutées sur les contribuables proportionnellement à la valeur des prestations qui leur sont fournies ou des avantages économiques qu’ils en retirent (ATF 118 Ib 349 consid. 5 ; 109 Ib 308 consid. 5b ; 101 Ib 462 consid. 3b ; arrêt du Tribunal fédéral 2C_466/2008 du 10 juillet 2009 consid. 4.2.2 = RDAF 2010 II 401, p. 406 ; Thierry TANQUEREL, op. cit., p. 84 n. 255 ; Pierre MOOR, op. cit.,</w:t>
      </w:r>
    </w:p>
    <w:p>
      <w:r>
        <w:t>- 14/25 - A/4202/2016 p. 370). Le principe d'équivalence n'exclut pas une certaine schématisation ou l’usage de moyennes d’expérience (arrêts du Tribunal fédéral 2C_519/2013 du</w:t>
      </w:r>
    </w:p>
    <w:p>
      <w:r>
        <w:rPr>
          <w:b/>
        </w:rPr>
        <w:t>E. 3</w:t>
      </w:r>
    </w:p>
    <w:p>
      <w:r>
        <w:t>RCI, ne suffit pas à rendre ledit forfait de base conforme au droit. Il en va de même du fait qu’un contrôle concret de l’application faite desdites dispositions</w:t>
      </w:r>
    </w:p>
    <w:p>
      <w:r>
        <w:t>- 24/25 - A/4202/2016 (soit tant de l’art. 257 al. 10 que de l’art. 254 al. 1 phr. 2 et 3 RCI) reste ouvert, sur recours au Tribunal administratif de première instance (art. 145 LCI) contre le bordereau auquel donne lieu la perception de tout émolument (art. 255 RCI), puis le cas échéant contre le jugement de ce tribunal, sur recours à la chambre administrative de la Cour de justice (art. 132 al. 2 LOJ cum art. 149 LCI).</w:t>
      </w:r>
    </w:p>
    <w:p>
      <w:r>
        <w:t>e. Le recours est ainsi partiellement fondé en tant qu’il est dirigé contre l’art. 257 al. 10 RCI relatif à l’émolument pour une réponse à une demande de renseignement. 10) Le recours doit être partiellement admis, au sens des considérants et l’art. 257 al. 10 RCI annulé.</w:t>
      </w:r>
    </w:p>
    <w:p>
      <w:r>
        <w:t>Vu l’issue du litige, un émolument réduit de CHF 500.- sera mis à la charge de l’association et de la société recourantes, prises conjointement et solidairement (art. 87 al. 1 LPA ; art. 2 al. 2 RFPA).</w:t>
      </w:r>
    </w:p>
    <w:p>
      <w:r>
        <w:t>Aucune indemnité de procédure ne sera allouée au Conseil d’État, ni aux recourantes, qui n’en ont d’ailleurs pas demandé et ne sont au surplus pas représentées par un avocat ou un mandataire professionnellement qualifié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