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ACST/11/2021 vom 15. April 2021</w:t>
      </w:r>
    </w:p>
    <w:p>
      <w:r>
        <w:t>GE Cour de justice, 2021-04-15, FR</w:t>
      </w:r>
    </w:p>
    <w:p>
      <w:r>
        <w:rPr>
          <w:b/>
        </w:rPr>
        <w:t xml:space="preserve">Quelle: </w:t>
      </w:r>
      <w:r>
        <w:t>https://mcp.opencaselaw.ch/entscheid/ge_gerichte_ACST_11_2021</w:t>
      </w:r>
    </w:p>
    <w:p>
      <w:r>
        <w:t>FR: GE_GERICHTE ACST/11/2021 du 15 avril 2021</w:t>
      </w:r>
    </w:p>
    <w:p>
      <w:r>
        <w:t>IT: GE_GERICHTE ACST/11/2021 del 15 aprile 2021</w:t>
      </w:r>
    </w:p>
    <w:p>
      <w:pPr>
        <w:pStyle w:val="Heading2"/>
      </w:pPr>
      <w:r>
        <w:t>Erwägungen</w:t>
      </w:r>
    </w:p>
    <w:p>
      <w:r>
        <w:rPr>
          <w:b/>
        </w:rPr>
        <w:t>E. 27</w:t>
      </w:r>
    </w:p>
    <w:p>
      <w:r>
        <w:t>août 2020 consid. 5). 5) a. Les recourantes contestent la loi litigieuse, au motif qu’elle serait contraire au droit fédéral.</w:t>
      </w:r>
    </w:p>
    <w:p>
      <w:r>
        <w:t>b. En vertu du principe de la primauté du droit fédéral ancré à l’art. 49 al. 1 de la Constitution fédérale de la Confédération suisse du 18 avril 1999 (Cst. - RS 101), les cantons ne sont pas autorisés à légiférer dans les matières</w:t>
      </w:r>
    </w:p>
    <w:p>
      <w:r>
        <w:t>- 10/17 -</w:t>
      </w:r>
    </w:p>
    <w:p>
      <w:r>
        <w:t>A/2232/2020</w:t>
      </w:r>
    </w:p>
    <w:p>
      <w:r>
        <w:t>exhaustivement réglementées par le droit fédéral. Dans les autres domaines, ils peuvent édicter des règles de droit pour autant qu’elles ne violent ni le sens ni l’esprit du droit fédéral, et qu’elles n’en compromettent pas la réalisation (ATF 146 II 309 consid. 4.1).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 arrêt du Tribunal fédéral 2C_425/2019 du 26 février 2020 consid. 4.1). 6) a. À teneur de l’art. 92 Cst., les services postaux et les télécommunications relèvent de la compétence de la Confédération (al. 1). Celle-ci veille à ce qu’un service universel suffisant en matière de services postaux et de télécommunications soit assuré à des prix raisonnables dans toutes les régions du pays (al. 2).</w:t>
      </w:r>
    </w:p>
    <w:p>
      <w:r>
        <w:t>b. En application de cette disposition, la loi sur les télécommunications du</w:t>
      </w:r>
    </w:p>
    <w:p>
      <w:r>
        <w:rPr>
          <w:b/>
        </w:rPr>
        <w:t>E. 30</w:t>
      </w:r>
    </w:p>
    <w:p>
      <w:r>
        <w:t>avril 1997 (LTC - RS 784.10) garantit qu’un service de télécommunication universel sûr et d’un prix abordable soit fourni à toutes les catégories de la population et dans tout le pays (art. 1 al. 2 let. a LTC), notamment en permettant une concurrence efficace en la matière (art. 1 al. 2 let. c LTC). Les opérateurs téléphoniques qui se voient accorder une concession ont ainsi, conformément aux dispositions constitutionnelles et légales, une obligation de fournir de tels services (art. 14 al. 2 LTC). 7) a. Selon l’art. 74 Cst., la Confédération légifère sur la protection de l’être humain et de son environnement naturel contre les atteintes nuisibles ou incommodantes (al. 1) et veille à prévenir ces atteintes (al. 2). L’exécution des dispositions fédérales incombe aux cantons dans la mesure où elle n’est pas réservée à la Confédération par la loi (al. 3). Cette disposition ménage à la Confédération une compétence « globale » concurrente, non limitée aux principes, dotée d’un effet dérogatoire subséquent et lui donne un mandat de légiférer (ACST/25/2020 précité consid. 10a et les références citées).</w:t>
      </w:r>
    </w:p>
    <w:p>
      <w:r>
        <w:t>b. La Confédération a concrétisé ce mandat législatif en adoptant la loi fédérale sur la protection de l’environnement du 7 octobre 1983 (LPE - RS 814.01), dont le but est de protéger les hommes, les animaux et les plantes, leurs biocénoses et leurs biotopes contre les atteintes nuisibles ou incommodantes, et de conserver durablement les ressources naturelles, en particulier la diversité biologique et la fertilité du sol (art. 1 al. 1 LPE). Elle prévoit que les atteintes qui pourraient devenir nuisibles ou incommodantes doivent être réduites à titre préventif et assez tôt (art. 1 al. 2 LPE). L’art. 11 LPE</w:t>
      </w:r>
    </w:p>
    <w:p>
      <w:r>
        <w:t>- 11/17 -</w:t>
      </w:r>
    </w:p>
    <w:p>
      <w:r>
        <w:t>A/2232/2020</w:t>
      </w:r>
    </w:p>
    <w:p>
      <w:r>
        <w:t>consacre ce principe et prévoit qu’indépendamment des nuisances existantes, il importe, à titre préventif, de limiter les émissions des pollutions atmosphériques, du bruit, des vibrations et des rayons (al. 1) dans la mesure que permettent l’état de la technique et les conditions d’exploitation et pour autant que cela soit économiquement supportable (al. 2). Les émissions sont notamment limitées par l’application des valeurs limites d’émissions (art. 12 al. 1 let. a LPE). L’exécution de la LPE incombe aux cantons, sous réserve de l’art. 41 LPE (art. 36 LPE).</w:t>
      </w:r>
    </w:p>
    <w:p>
      <w:r>
        <w:t>c. Dans le domaine du rayonnement non ionisant, la limitation dite préventive – qui doit être ordonnée en premier lieu, indépendamment des nuisances existantes – fait l’objet d’une réglementation détaillée, par renvoi de l’art. 4 al. 1 ORNI, à son annexe 1, qui fixe notamment, pour les stations émettrices pour téléphonie mobile et raccordements téléphoniques sans fils, des valeurs limites de l’installation (ch. 64 annexe 1 ORNI). Ces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1C_518/2018 du 14 avril 2020 consid. 5.1.1 et les références citées).</w:t>
      </w:r>
    </w:p>
    <w:p>
      <w:r>
        <w:t>Si, après sa mise en service, une nouvelle installation est modifiée, les prescriptions relatives aux limitations d’émissions concernant les nouvelles installations sont applicables (art. 6 ORNI). Lorsqu’une ancienne installation est modifiée, les dispositions relatives à la limitation des émissions pour les nouvelles installations lui sont en principe applicables (art. 9 ORNI). Le ch. 62 al. 5 de l’annexe 1 ORNI précise la notion de modification d’une installation au sens de ces dispositions, soit : la modification de l’emplacement d’antennes émettrices (let. a) ; le remplacement d’antennes émettrices par d’autres ayant un diagramme d’antenne différent (let. b) ; l’extension par ajout d’antennes émettrices (let. c) ; l’augmentation de la puissance apparente rayonnée au-delà de la valeur maximale autorisée (let. d), ou la modification des directions d’émission au-delà du domaine angulaire autorisé (let. e). Les nouvelles et les anciennes installations ne doivent pas dépasser la valeur limite de l’installation dans les lieux à utilisation sensible dans le mode d’exploitation déterminant (ch. 65 de l’annexe 1 ORNI).</w:t>
      </w:r>
    </w:p>
    <w:p>
      <w:r>
        <w:t>Selon l’art. 11 ORNI, avant qu’une installation pour laquelle des limitations d’émissions figurent à l’annexe 1 soit construite, réinstallée sur un autre site, remplacée sur son site ou modifiée, le détenteur doit remettre à l’autorité compétente en matière d’autorisations une fiche de données spécifiques au site (al. 1), qui doit contenir (al. 2) : les données actuelles et planifiées relatives à la technique et à l’exploitation de l’installation dans la mesure où elles sont déterminantes pour l’émission de rayonnement (let. a) ; le mode d’exploitation déterminant au sens de l’annexe 1 (let. b) ; des informations concernant le rayonnement émis par l’installation (let. c) ; un plan (let. d).</w:t>
      </w:r>
    </w:p>
    <w:p>
      <w:r>
        <w:t>- 12/17 -</w:t>
      </w:r>
    </w:p>
    <w:p>
      <w:r>
        <w:t>A/2232/2020</w:t>
      </w:r>
    </w:p>
    <w:p>
      <w:r>
        <w:t>De jurisprudence constante, le principe de prévention est réputé respecté en cas de respect de la valeur limite de l’installation dans les lieux à utilisation sensible où cette valeur s’applique (ATF 126 II 399 consid. 3c). Il appartient toutefois à l’autorité fédérale spécialisée, soit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Le Tribunal fédéral a à cet égard encore récemment confirmé qu’en l’état des connaissances actuelles, il n’existait pas d’indices en vertu desquels ces valeurs limites devraient être modifiées (arrêt du Tribunal fédéral 1C_518/2018 précité consid. 5.1.1 et les références citées).</w:t>
      </w:r>
    </w:p>
    <w:p>
      <w:r>
        <w:t>Dès lors que l’ORNI règle exhaustivement la limitation préventive des valeurs limites d’émissions, il ne peut être imposé aux opérateurs des mesures supplémentaires, même si elles permettraient d’aller en-dessous desdites valeurs limites, sous réserve de nouvelles connaissances scientifiques (ATF 126 II 399 consid. 3c). 8) a. En vertu du droit fédéral, les installations de téléphonie mobile n’ont en principe pas à faire l’objet d’une planification spéciale ; elles doivent en priorité être érigées en zone constructible (ATF 138 II 173 consid. 5). Lorsque l’autorité cantonale ou communale décide d’établir une planification pour ce type d’installations, cette planification peut être positive, négative ou en cascade (ATF 141 II 245 consid 2.1). Les installations de téléphonie mobile peuvent en outre être soumises aux dispositions cantonales ou communales d’esthétique ou d’intégration (arrêt du Tribunal fédéral 1C_371/2020 du 9 février 2021 consid. 3.2 et les références citées).</w:t>
      </w:r>
    </w:p>
    <w:p>
      <w:r>
        <w:t>Ces normes doivent toutefois être appliquées dans les limites du droit supérieur, en particulier du droit fédéral de l’environnement d’une part et des télécommunications d’autre part :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w:t>
      </w:r>
    </w:p>
    <w:p>
      <w:r>
        <w:t>b. Amené à statuer sur la validité d’une initiative populaire communale qui prévoyait l’interdiction de toute installation de stations et d’antennes de communication mobile dans le village de D______, ne la rendant possible que dans la zone agricole entourant ledit village à une certaine distance de celui-ci, le</w:t>
      </w:r>
    </w:p>
    <w:p>
      <w:r>
        <w:t>- 13/17 -</w:t>
      </w:r>
    </w:p>
    <w:p>
      <w:r>
        <w:t>A/2232/2020</w:t>
      </w:r>
    </w:p>
    <w:p>
      <w:r>
        <w:t>Tribunal fédéral a considéré qu’un tel texte n’était pas admissible au regard des principes du droit fédéral et en l’absence de raisons techniques particulières. Le texte clair de ladite initiative apparaissait en outre particulièrement catégorique et ne conférait pas à l’autorité de marge de manœuvre lui permettant d’accorder des dérogations. À cela s’ajoutait que la planification locale devait permettre à l’ensemble des opérateurs d’offrir leurs prestations et tenir compte des besoins futurs, en prévoyant une marge suffisante pour les développements des techniques de télécommunications et pour satisfaire à l’évolution de la demande dans ce domaine, afin de permettre aux opérateurs d’adapter leur réseau aux changements de circonstances (arrêt du Tribunal fédéral 1C_371/2020 précité consid. 3.3 et 3.4).</w:t>
      </w:r>
    </w:p>
    <w:p>
      <w:r>
        <w:t>c. Par ailleurs, le 3 mai 2019, l’OFEV et l’office fédéral de la communication (ci-après : OFCOM) ont publié, sur le site internet de l’OFEV (https://www.bafu.admin.ch/bafu/fr/home.html), une prise de position commune intitulée « moratoires cantonaux sur les antennes de téléphonie mobile 5G et droit fédéral », aux termes de laquelle ils indiquaient que la Confédération avait exercé ses compétences en matière de rayonnement non ionisant en édictant la LPE et l’ORNI, si bien que les autorités cantonales et communales ne disposaient d’aucune marge de manœuvre leur permettant d’élaborer des dispositions destinées à protéger la population contre le rayonnement des installations de téléphonie mobile sans outrepasser leurs compétences. Les cantons étaient en revanche responsables de l’octroi des autorisations pour les installations de téléphonie mobile, dans le respect de la procédure cantonale d’autorisation de construire. Pour déterminer si les conditions d’octroi d’un permis de construire étaient remplies, les cantons appliquaient non seulement le droit fédéral de l’environnement, mais aussi les dispositions cantonales du droit de la construction et de l’urbanisme. De telles dispositions n’étaient toutefois admissibles que si elles ne visaient pas à protéger la population contre le rayonnement non ionisant et qu’elles n’entraînaient pas une restriction illicite des émissions des installations de téléphonie mobile ou une violation des intérêts publics définis dans la législation sur les télécommunications. Si un moratoire sur la 5G adopté par un parlement cantonal devait être mis en œuvre par les autorités dudit canton au moyen d’un acte législatif, les opérateurs de téléphonie mobile seraient en droit de contester ce dernier et de déposer un recours contre tout refus ou tout report d’autorisation pour une antenne. Il incomberait alors aux tribunaux compétents de décider si et dans quelle mesure ce moratoire violait le droit fédéral. 9)</w:t>
      </w:r>
    </w:p>
    <w:p>
      <w:r>
        <w:t>À Genève, à teneur de l’art. 1 al. 1 let. a LCI, sur tout le territoire du canton nul ne peut, sans y avoir été autorisé, élever en tout ou partie une construction ou une installation. Au sens de l’art. 1 let. d du règlement d’application de la LCI du 27 février 1978 (RCI – L 5 05.01), sont réputées constructions ou installations toutes choses immobilières ou mobilières édifiées au-dessus ou au-dessous du sol ainsi que toutes leurs parties intégrantes et accessoires, soit notamment les</w:t>
      </w:r>
    </w:p>
    <w:p>
      <w:r>
        <w:t>- 14/17 -</w:t>
      </w:r>
    </w:p>
    <w:p>
      <w:r>
        <w:t>A/2232/2020</w:t>
      </w:r>
    </w:p>
    <w:p>
      <w:r>
        <w:t>ascenseurs et monte-charges, les installations de chauffage, de distribution d’eau, de gaz ou d’électricité et les antennes électromagnétiques. L’art. 14 al. 1 LCI prévoit que le département peut refuser les autorisations prévues à l’art. 1 lorsqu’une construction ou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 10) a. En l’espèce, la loi 12'644 vise à soumettre à la LCI, et donc à autorisation, toute élévation, adaptation ou modification, en tout ou en partie, sur le plan physique ou logiciel, des antennes de téléphonie mobile, et ce à compter du 24 avril 2019. Elle va dès lors au-delà de l’art. 1 al. 1 let. a LCI, qui soumet à autorisation uniquement l’élévation de telles antennes, en tant qu’elles constituent des installations au sens de cette disposition.</w:t>
      </w:r>
    </w:p>
    <w:p>
      <w:r>
        <w:t>Elle va également au-delà de l’ORNI, qui définit, au ch. 62 al. 5 de l’annexe 1, la notion de modification d’une installation, qui comprend la modification de l’emplacement de l’antenne, son remplacement, son extension, l’augmentation de la puissance apparente rayonnée et la modification des directions d’émission, et pour laquelle une fiche de données spécifiques au site doit alors être remise à l’autorité selon l’art. 11 ORNI. Il en résulte que, pour toutes les modifications qui ne répondent pas à cette définition, comme une modification, tant sur le plan physique que logiciel, qui n’aurait pas de conséquence sur le rayonnement ou le modifierait en-dessous des valeurs limites fixées, aucune fiche ne doit être établie.</w:t>
      </w:r>
    </w:p>
    <w:p>
      <w:r>
        <w:t>Or, en soumettant d’emblée toutes les modifications et adaptations d’antennes à autorisation de construire, même celles qui ne constituent pas des modifications au sens de l’ORNI, la disposition litigieuse vise, dans les faits, à remettre en cause les valeurs préventives des émissions fixées par l’ORNI, qui sont réglementées de manière exhaustive et qui ne permettent pas d’imposer des exigences supplémentaires aux opérateurs, même si elles ont pour effet de rester en-deçà desdites valeurs limites et même si elles sont dictées par le principe de prévention, lequel est réputé respecté par ces valeurs limites en l’état des connaissances actuelles.</w:t>
      </w:r>
    </w:p>
    <w:p>
      <w:r>
        <w:t>De ce point de vue déjà, l’art. 1 al. 1 let. h LCI revient à compliquer, sinon à rendre impossible l’application du droit fédéral, si bien qu’il lui est contraire.</w:t>
      </w:r>
    </w:p>
    <w:p>
      <w:r>
        <w:t>- 15/17 -</w:t>
      </w:r>
    </w:p>
    <w:p>
      <w:r>
        <w:t>A/2232/2020</w:t>
      </w:r>
    </w:p>
    <w:p>
      <w:r>
        <w:t>b. La loi litigieuse contrevient au droit fédéral également d’un autre point de vue, puisqu’elle ne se limite pas à soumettre à autorisation toute élévation, adaptation ou modification d’antennes de téléphonie mobile, en tout ou en partie, sur plan physique ou logiciel, mais vise en réalité à les empêcher, en application du principe de prévention.</w:t>
      </w:r>
    </w:p>
    <w:p>
      <w:r>
        <w:t>En effet, il ressort de l’exposé des motifs relatif au PL 12'644 qu’à la suite de l’invite de la M 2'538 faite au Conseil d’État, seules les autorisations de construire pour l’extension du réseau de téléphonie mobile ont été suspendues dès le mois d’avril 2019, mais pas les modifications légères des antennes existantes ni celles portant sur les logiciels, ce qui a permis aux opérateurs de procéder auxdites modifications en vue du déploiement de la 5G. La novelle vise ainsi à conférer au Conseil d’État des moyens supplémentaires pour mettre en application cette motion, laquelle l’invitait à mettre en place un moratoire concernant les antennes 5G.</w:t>
      </w:r>
    </w:p>
    <w:p>
      <w:r>
        <w:t>C’est d’ailleurs dans ce sens que le Conseil d’État a compris le texte du PL 12'644. En effet, lors de la séance plénière ayant vu l’adoption de la loi sans renvoi en commission, le conseiller d’État a indiqué qu’il comprenait devoir soumettre à autorisation de construire toute transformation et adaptation des antennes existantes et les refuser pendant la période considérée. C’est également dans ce sens que ladite loi, une fois entrée en vigueur, a été appliquée, contrairement à ce que soutient l’intimé. Il ressort en particulier des explications du conseiller d’État du 12 novembre 2020 ainsi que des pièces versées au dossier par les recourantes qu’à la suite de l’entrée en vigueur de la loi litigieuse et ce jusqu’à la décision sur effet suspensif, les demandes d’autorisation de construire déposées par les recourantes ont été suspendues, en application du principe de prévention, dans l’attente du résultat des travaux dirigés par l’OFEV sur le déploiement des nouvelles antennes 5G et sur la méthodologie de contrôle du rayonnement, ce qui constitue à l’évidence un moratoire sur toutes les modifications relatives auxdites antennes de téléphonie mobile. Après la décision sur effet suspensif, à la suite de l’invite visant à mettre un terme à ladite suspension, l’OAC a rendu une centaine de décisions refusant les demandes d’autorisation de construire déposées par les recourantes, pour les mêmes motifs, les recours contre lesdites décisions étant actuellement pendants devant le TAPI.</w:t>
      </w:r>
    </w:p>
    <w:p>
      <w:r>
        <w:t>Ce faisant, la loi litigieuse, sous le couvert de normes du droit des constructions, tend, dans les faits, à protéger la population contre le rayonnement des installations de téléphonie mobile, soit un autre but que celui visé par la LCI, alors même que ce domaine relève du droit fédéral. Le but réel de ladite loi et l’application qui en a été faite par l’autorité compétente, laquelle a d’abord suspendu toutes les demandes d’autorisation de construire avant de les refuser, a ainsi pour effet de rendre impossible, pour les recourantes, la réalisation de leur obligation de couverture, qui leur incombe en vertu du droit fédéral, si bien</w:t>
      </w:r>
    </w:p>
    <w:p>
      <w:r>
        <w:t>- 16/17 -</w:t>
      </w:r>
    </w:p>
    <w:p>
      <w:r>
        <w:t>A/2232/2020</w:t>
      </w:r>
    </w:p>
    <w:p>
      <w:r>
        <w:t>qu’elle lui est contraire. Elle ne permet ainsi plus aux sociétés opératrices de téléphonie mobile d’offrir leurs prestations en tenant notamment compte des besoins futurs et des développements des techniques de télécommunications, ni d’adapter leur réseau aux changements de circonstances, ce qui n’est pas admissible au regard des exigences posées par le droit fédéral des télécommunications et de l’environnement.</w:t>
      </w:r>
    </w:p>
    <w:p>
      <w:r>
        <w:t>c. Il s’ensuit que le recours sera admis. La loi litigieuse sera annulée dans son intégralité, tant s’agissant de l’art. 1 al. 1 let. h LCI, qui soumet à autorisation toute élévation, adaptation ou modification, en totalité ou en partie, sur le plan physique ou logiciel, des antennes de téléphonie mobile, que de l’art. 156 al. 4 LCI, qui arrête la durée de validité de ladite mesure et qui en est la conséquence. Au regard de ce qui précède, il n’y a dès lors pas lieu d’examiner les autres griefs des recourantes en lien avec la loi litigieuse. 11) Vu l’issue du litige, aucun émolument ne sera perçu (art. 87 al. 1 LPA) et une indemnité de procédure de CHF 500.- sera accordée à chacune des recourantes,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