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ACST/10/2026 vom 3. Februar 2026</w:t>
      </w:r>
    </w:p>
    <w:p>
      <w:r>
        <w:t>GE Cour de justice, 2026-02-03, FR</w:t>
      </w:r>
    </w:p>
    <w:p>
      <w:r>
        <w:rPr>
          <w:b/>
        </w:rPr>
        <w:t xml:space="preserve">Quelle: </w:t>
      </w:r>
      <w:r>
        <w:t>https://mcp.opencaselaw.ch/entscheid/ge_gerichte_ACST_10_2026</w:t>
      </w:r>
    </w:p>
    <w:p>
      <w:r>
        <w:t>FR: GE_GERICHTE ACST/10/2026 du 3 février 2026</w:t>
      </w:r>
    </w:p>
    <w:p>
      <w:r>
        <w:t>IT: GE_GERICHTE ACST/10/2026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Les recourants se sont opposés à cette jonction, estimant que cette dernière conduirait à partager des informations personnelles relevant de leur sphère intime, ce qui constituerait une atteinte irréparable à leur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w:t>
      </w:r>
    </w:p>
    <w:p>
      <w:r>
        <w:t>- 6/32 -</w:t>
      </w:r>
    </w:p>
    <w:p>
      <w:r>
        <w:t>A/2891/2025</w:t>
      </w:r>
    </w:p>
    <w:p>
      <w:r>
        <w:t>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un règlement du Conseil d’État, à savoir le règlement modifiant le RAES-II,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dudit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w:t>
      </w:r>
    </w:p>
    <w:p>
      <w:r>
        <w:t>- 7/32 -</w:t>
      </w:r>
    </w:p>
    <w:p>
      <w:r>
        <w:t>A/2891/2025</w:t>
      </w:r>
    </w:p>
    <w:p>
      <w:r>
        <w:t>pour recourir suppose en outre un intérêt actuel à obtenir l’annulation de l’acte entrepris, cet intérêt devant exister tant au moment du dépôt du recours qu’au moment où l’arrêt est rendu (ATF 147 I 478 consid. 2.2). En l’espèce, D______ est né en septembre 2006 et a déjà été admis à l’école de culture générale, mais craint de ne pas pouvoir suivre une passerelle pour entrer à l’université. Or, la passerelle universitaire n’est pas concernée par les modifications des conditions d’admission dans les établissements du secondaire II à Genève. La question de la qualité pour recourir d’D______ peut toutefois souffrir de rester indécise, au regard de ce qui suit. Sa sœur A______ est née en mai 2011 et est scolarisée au cycle d’orientation du E______. En tant qu’élève souhaitant être admise dans l’enseignement secondaire II genevois, A______ est concernée par les dispositions qu’elle conteste, lesquelles introduisent dans l’enseignement secondaire II une condition de domicile dans le canton, ce qui conduit à son exclusion du système d’enseignement public genevois dès la rentrée 2026. Il y a dès lors lieu de considérer que la recourante dispose de la qualité pour recourir. Le recours est donc recevable.</w:t>
      </w:r>
    </w:p>
    <w:p>
      <w:r>
        <w:rPr>
          <w:b/>
        </w:rPr>
        <w:t>E. 5</w:t>
      </w:r>
    </w:p>
    <w:p>
      <w:r>
        <w:t>Le litige porte sur la conformité au droit supérieur du règlement modifiant le RAES-II.</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w:t>
      </w:r>
    </w:p>
    <w:p>
      <w:r>
        <w:t>- 8/32 -</w:t>
      </w:r>
    </w:p>
    <w:p>
      <w:r>
        <w:t>A/2891/2025</w:t>
      </w:r>
    </w:p>
    <w:p>
      <w:r>
        <w:t>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Les recourants sollicitent la production de l’intégralité des échanges, documents officiels et tout autre élément pertinent ayant conduit à l’adoption du règlement attaqué.</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w:t>
      </w:r>
    </w:p>
    <w:p>
      <w:r>
        <w:t>- 9/32 -</w:t>
      </w:r>
    </w:p>
    <w:p>
      <w:r>
        <w:t>A/2891/2025</w:t>
      </w:r>
    </w:p>
    <w:p>
      <w:r>
        <w:t>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Dans un cinquième grief, les recourants soutiennent que le règlement litigieux viole leur liberté d’établissement. Leurs parents possédaient la nationalité suisse. À l’instar de ceux-ci, ils avaient de nombreux points d’attaches avec Genève. Les pénaliser du fait que leurs parents avaient été contraints, en raison de la crise du logement, de s’installer en France voisine violait leur liberté d’établissement.</w:t>
      </w:r>
    </w:p>
    <w:p>
      <w:r>
        <w:rPr>
          <w:b/>
        </w:rPr>
        <w:t>E. 11.1</w:t>
      </w:r>
    </w:p>
    <w:p>
      <w:r>
        <w:t>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w:t>
      </w:r>
    </w:p>
    <w:p>
      <w:r>
        <w:t>- 25/32 -</w:t>
      </w:r>
    </w:p>
    <w:p>
      <w:r>
        <w:t>A/2891/2025</w:t>
      </w:r>
    </w:p>
    <w:p>
      <w:r>
        <w:t>territoire national (ATF 135 I 233 consid. 5 p. 248 s. ; 131 I 266 consid. 3 p. 269 ; 128 I 280 consid. 4.1.1 p. 282 s. ; ATA/597/2016 du 12 juillet 2016 consid. 3a).</w:t>
      </w:r>
    </w:p>
    <w:p>
      <w:r>
        <w:rPr>
          <w:b/>
        </w:rPr>
        <w:t>E. 11.2</w:t>
      </w:r>
    </w:p>
    <w:p>
      <w:r>
        <w:t>En l’espèce, A______ est encore mineure et se trouve donc dans l’obligation de suivre ses parents. Ceux-ci ne démontrent toutefois pas en quoi la crise du logement sévissant à Genève, qui a certes pour conséquence qu’il est difficile d’y trouver un logement adéquat, leur interdirait de venir s’établir dans ce canton ou ailleurs sur le territoire de la Confédération. Les recourants se réfèrent au surplus à l’ATF 111 Ia 214. On ne voit néanmoins pas en quoi le cas du professeur examiné dans cet arrêt, auquel le canton de Genève imposait d’être domicilié à Genève alors qu’il ne le souhaitait pas, serait comparable à celui de l’élève dont les parents se plaignent de ne pas pouvoir, pour des motifs économiques, habiter ce canton.</w:t>
      </w:r>
    </w:p>
    <w:p>
      <w:r>
        <w:rPr>
          <w:b/>
        </w:rPr>
        <w:t>E. 12</w:t>
      </w:r>
    </w:p>
    <w:p>
      <w:r>
        <w:t>Dans un sixième grief, les recourants se prévalent du droit aux mêmes avantages sociaux que les travailleurs salariés nationaux et les membres de leur famille et soutiennent qu’ils sont, ainsi que leurs parents,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Les élèves et leurs parents possèdent la nationalité suisse. Il existe un aspect transfrontalier (lien d’extranéité ; voir à ce propos : Astrid EPINEY/ Gaëtan BLASER in Cesla AMARELLE/Minh Son NGUYEN [éd.], Code annoté de droit des migrations, vol. III, Accord sur la libre circulation des personnes [ALCP], 2014, n. 9 ad art. 2 ALCP). En effet, les parents vivent en France et travaillent en Suisse. Quant aux élèves, ils vivent en France et souhaitent poursuivre leur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t>- 26/32 -</w:t>
      </w:r>
    </w:p>
    <w:p>
      <w:r>
        <w:t>A/2891/2025</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Astrid EPINEY et Deborah SANGSUE relèvent qu’il serait éventuellement défendable d’appliquer l’art. 3 par.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recourants ne peuvent ainsi pas déduire de l’art. 3 par. 6 de l’annexe I ALCP un droit à être admis dans l’enseignement secondaire II genevois.</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w:t>
      </w:r>
    </w:p>
    <w:p>
      <w:r>
        <w:t>- 27/32 -</w:t>
      </w:r>
    </w:p>
    <w:p>
      <w:r>
        <w:t>A/2891/2025</w:t>
      </w:r>
    </w:p>
    <w:p>
      <w:r>
        <w:t>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constituerait un avantage social, l’art. 9 par. 2 de l’annexe I ALCP ne prévoit logiquement pas de déroger à la condition explicite de la résidence figurant à l’art. 3 par. 6 de l’annexe I ALCP.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w:t>
      </w:r>
    </w:p>
    <w:p>
      <w:r>
        <w:t>- 28/32 -</w:t>
      </w:r>
    </w:p>
    <w:p>
      <w:r>
        <w:t>A/2891/2025</w:t>
      </w:r>
    </w:p>
    <w:p>
      <w:r>
        <w:t>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(Astrid EPINEY/Gaëtan BLASER, op. cit., n. 13 ad art. 2 ALCP).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les élèves que leurs parents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t>- 29/32 -</w:t>
      </w:r>
    </w:p>
    <w:p>
      <w:r>
        <w:t>A/2891/2025</w:t>
      </w:r>
    </w:p>
    <w:p>
      <w:r>
        <w:rPr>
          <w:b/>
        </w:rPr>
        <w:t>E. 12.6</w:t>
      </w:r>
    </w:p>
    <w:p>
      <w:r>
        <w:t>Les parents des recourants font à plusieurs reprises référence au fait qu’ils payent des impôts à Genève. Sans en faire un grief en soi, ils semblent en tirer pour conséquences que leurs enfants ne peuvent, du fait de cet assujettissement, pas être empêchés d’accéder à l’enseignement secondaire II à Genève sans être discriminés.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secondaire II genevois aux élèves. Les recourants se réfèrent en outre à un arrêt rendu par la CJUE le 2 avril 2020 (C-830/18). Cet arrêt examine toutefois les conditions de prise en charge des frais de transport scolaire d’un membre de la famille, et non, comme en l’espèce, les conditions d’accès à l’enseignement public.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w:t>
      </w:r>
    </w:p>
    <w:p>
      <w:r>
        <w:t>- 30/32 -</w:t>
      </w:r>
    </w:p>
    <w:p>
      <w:r>
        <w:t>A/2891/2025</w:t>
      </w:r>
    </w:p>
    <w:p>
      <w:r>
        <w:t>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 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dans sa formulation à la date de l’entrée en vigueur de l’ALCP, soit le 1er juin 2002, avec sa formulation applicable le 14 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Ce constat s’impose également pour l’art. 3 aRAES-II.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w:t>
      </w:r>
    </w:p>
    <w:p>
      <w:r>
        <w:t>- 31/32 -</w:t>
      </w:r>
    </w:p>
    <w:p>
      <w:r>
        <w:t>A/2891/2025</w:t>
      </w:r>
    </w:p>
    <w:p>
      <w:r>
        <w:t>handicapées et la coordination scolaire, ne constituent toutefois pas des mesures restrictives à l’égard des bénéficiaires de l’ALCP. Mal fondé, le recours sera rejeté.</w:t>
      </w:r>
    </w:p>
    <w:p>
      <w:r>
        <w:rPr>
          <w:b/>
        </w:rPr>
        <w:t>E. 13</w:t>
      </w:r>
    </w:p>
    <w:p>
      <w:r>
        <w:t>Vu l’issue du litige, un émolument de CHF 1'300.-, comprenant les frais liés à la procédure sur effet suspensif,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