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ACST/10/2021 vom 23. März 2021</w:t>
      </w:r>
    </w:p>
    <w:p>
      <w:r>
        <w:t>GE Cour de justice, 2021-03-23, FR</w:t>
      </w:r>
    </w:p>
    <w:p>
      <w:r>
        <w:rPr>
          <w:b/>
        </w:rPr>
        <w:t xml:space="preserve">Quelle: </w:t>
      </w:r>
      <w:r>
        <w:t>https://mcp.opencaselaw.ch/entscheid/ge_gerichte_ACST_10_2021</w:t>
      </w:r>
    </w:p>
    <w:p>
      <w:r>
        <w:t>FR: GE_GERICHTE ACST/10/2021 du 23 mars 2021</w:t>
      </w:r>
    </w:p>
    <w:p>
      <w:r>
        <w:t>IT: GE_GERICHTE ACST/10/2021 del 23 marzo 2021</w:t>
      </w:r>
    </w:p>
    <w:p>
      <w:pPr>
        <w:pStyle w:val="Heading2"/>
      </w:pPr>
      <w:r>
        <w:t>Erwägungen</w:t>
      </w:r>
    </w:p>
    <w:p>
      <w:r>
        <w:rPr>
          <w:b/>
        </w:rPr>
        <w:t>E. 12</w:t>
      </w:r>
    </w:p>
    <w:p>
      <w:r>
        <w:t>décembre 1994 (REDP - A 5 05.01) précise que, pour le premier tour d’une élection, les signataires de chaque liste de candidats désignent parmi eux un mandataire ainsi qu’un remplaçant, seuls interlocuteurs reconnus par les autorités (al. 4). Pour le second tour d’une élection au sens de l’art. 100 al. 2 LEDP, les mandataires et leur remplaçant sont (al. 5) : ceux désignés lors du premier tour (let. a) ; ceux désignés par l’ensemble des mandataires des listes du premier tour en cas de regroupement de celles-ci (let. b). La chancellerie vérifie si les listes de candidats remplissent les conditions légales (art. 29 LEDP).</w:t>
      </w:r>
    </w:p>
    <w:p>
      <w:r>
        <w:t>c. Pour les élections cantonales, les électeurs reçoivent de l’État au plus tard dix jours avant celles-ci les bulletins électoraux et une notice explicative ; pour le second tour des élections au système majoritaire, le délai est de cinq jours avant la date du second tour (art. 54 al. 1 LEDP). Les liens d’intérêts sont publiés à deux reprises dans la FAO. Pour le second tour des élections au système majoritaire, seuls les liens d’intérêts des nouveaux candidats sont publiés une fois dans la FAO, au plus tard dix jours avant la date du second tour (art. 54 al. 2 LEDP). 10) En l’espèce, le recourant conteste le dépôt de la liste « PDC – PBD, Le Centre » pour le second tour de l’élection complémentaire, au motif que le PDC-GE et Mme B______ n’auraient pas participé au premier tour de ladite élection.</w:t>
      </w:r>
    </w:p>
    <w:p>
      <w:r>
        <w:t>La loi permet toutefois à un candidat qui n’a pas participé au premier tour d’une élection majoritaire de prendre part au second tour de celle-ci, ce qui résulte de l’art. 54 al. 2 LEDP. Une telle possibilité offerte à un candidat n’est du reste pas contraire à la liberté de vote, tout comme celle d’un candidat qui souhaiterait se retirer à l’issue du premier tour ou se verrait évincé par un jeu d’alliance, les scrutins du premier et du deuxième tours constituant des opérations électorales distinctes, indépendantes l’une de l’autre (ACST/7/2015 précité consid. 9), et les électeurs demeurant libre de donner leur voix au candidat de leur choix. L’on ne saurait au surplus y voir une inégalité de traitement entre les candidats.</w:t>
      </w:r>
    </w:p>
    <w:p>
      <w:r>
        <w:t>Le fait que le PDC-GE n’ait pas participé au premier tour du scrutin ne conduit pas à une autre conclusion, dès lors qu’il n’a déposé aucune liste propre pour le second tour, ce qui n’est du reste pas contesté. Il a en effet fait porter sa candidate sur une liste ayant pris part au premier tour, dont le mandataire et son remplaçant, à savoir respectivement M. C______ et Mme E______, sont restés les mêmes lors du second tour. Même en l’absence de soutien du PDC-GE au PBD-GE lors du premier tour, rien n’empêchait ces deux partis de s’allier en vue du deuxième tour, un tel jeu d’alliance ayant au demeurant été recherché par le législateur lorsqu’il a adopté la teneur actuelle de l’art. 100 al. 2 LEDP. Pour les</w:t>
      </w:r>
    </w:p>
    <w:p>
      <w:r>
        <w:t>- 11/13 -</w:t>
      </w:r>
    </w:p>
    <w:p>
      <w:r>
        <w:t>A/1008/2021</w:t>
      </w:r>
    </w:p>
    <w:p>
      <w:r>
        <w:t>mêmes motifs, l’on ne saurait y voir une manière de fausser la volonté des citoyens, voire des signataires de la liste « PBD Genève », qui ne sont jamais à l’abri de la conclusion d’alliances à l’« entre-deux-tours ». L’arrêt du Tribunal fédéral 1C_343/2008 du 9 septembre 2008, invoqué par le recourant, ne conduit pas à d’autres conclusions.</w:t>
      </w:r>
    </w:p>
    <w:p>
      <w:r>
        <w:t>La volonté des citoyens ne se trouve pas non plus faussée s’agissant de la dénomination de la liste « PDC – PBD, Le Centre » pour le second tour, dès lors que l’art. 100 al. 2 LEDP ne pose plus d’exigence d’une dénomination identique d’une liste pour les deux tours d’une élection majoritaire, ce qui ressort des travaux législatifs ayant conduit à l’adoption de cette disposition. Ce nom de liste ne prête pas non plus à confusion, puisqu’il indique l’alliance entre les deux partis pour le scrutin en cause, étant précisé qu’au plan fédéral, ces deux entités ont également fusionné sous la dénomination « Le Centre » et qu’ils forment d’ailleurs un groupe parlementaire à l’Assemblée fédérale. Le fait qu’une telle fusion n’ait pas eu lieu au plan des sections cantonales de ces partis n’y change rien, pas plus que l’adjonction « Le Centre » dans le nom de ladite liste. À cela s’ajoute que, dans le cadre du système majoritaire dans lequel la personnalité des candidats tient une place importante, les électeurs portent leur voix en priorité sur une personne à élire, avant d’opter pour un parti, l’intitulé d’une liste n’ayant pas forcément une importance déterminante à cet égard (ACST/7/2015 précité consid. 9).</w:t>
      </w:r>
    </w:p>
    <w:p>
      <w:r>
        <w:t>Le PBD-GE, avec la liste « PBD Genève », ayant participé au premier tour de l’élection complémentaire, il pouvait par conséquent déposer, au second tour de cette élection, par son mandataire, une nouvelle liste incluant le PDC-GE et proposer comme candidate la présidente de ce dernier. Ceci est conforme à l’art. 100 al. 2 LEDP, disposition que le SVE a appliquée correctement. L’on ne saurait en outre déceler dans cette manière de procéder des intimés une quelconque fraude à la loi ou abus de droit par rapport au cas d’espèce, indépendamment des comportements respectifs de Mme B______ et M. C______ en lien avec la campagne du second tour, qui sont sans incidence.</w:t>
      </w:r>
    </w:p>
    <w:p>
      <w:r>
        <w:t>Enfin, c’est à juste titre que le recourant a renoncé à soulever le grief en lien avec l’art. 24 al. 8 LEDP, disposition qui ne trouve pas application en l’espèce.</w:t>
      </w:r>
    </w:p>
    <w:p>
      <w:r>
        <w:t>C’est dès lors conformément au droit que le SVE a admis la liste « PDC-PBD, Le Centre », sur laquelle Mme B______ est candidate, pour le second tour de l’élection complémentaire du 28 mars 2021, ce qui rend sans objet le grief relatif à une prétendue violation de l’art. 29 LEDP.</w:t>
      </w:r>
    </w:p>
    <w:p>
      <w:r>
        <w:t>Entièrement mal fondé, le recours sera par conséquent rejeté, en tant qu’il est recevable, ce qui rend également sans objet les mesures provisionnelles sollicitées.</w:t>
      </w:r>
    </w:p>
    <w:p>
      <w:r>
        <w:t>- 12/13 -</w:t>
      </w:r>
    </w:p>
    <w:p>
      <w:r>
        <w:t>A/1008/2021</w:t>
      </w:r>
    </w:p>
    <w:p>
      <w:r>
        <w:t>11) Vu l’issue du litige, un émolument de CHF 700.- sera mis à la charge du recourant, qui succombe (art. 87 al. 1 LPA), et aucune indemnité de procédure ne lui sera allouée (art. 87 al. 2 LPA). Une indemnité de procédure de CHF 700.- sera en outre allouée solidairement aux intimés,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