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ACST/10/2017 vom 30. Juni 2017</w:t>
      </w:r>
    </w:p>
    <w:p>
      <w:r>
        <w:t>GE Cour de justice, 2017-06-30, FR</w:t>
      </w:r>
    </w:p>
    <w:p>
      <w:r>
        <w:rPr>
          <w:b/>
        </w:rPr>
        <w:t xml:space="preserve">Quelle: </w:t>
      </w:r>
      <w:r>
        <w:t>https://mcp.opencaselaw.ch/entscheid/ge_gerichte_ACST_10_2017</w:t>
      </w:r>
    </w:p>
    <w:p>
      <w:r>
        <w:t>FR: GE_GERICHTE ACST/10/2017 du 30 juin 2017</w:t>
      </w:r>
    </w:p>
    <w:p>
      <w:r>
        <w:t>IT: GE_GERICHTE ACST/10/2017 del 30 giugno 2017</w:t>
      </w:r>
    </w:p>
    <w:p>
      <w:pPr>
        <w:pStyle w:val="Heading2"/>
      </w:pPr>
      <w:r>
        <w:t>Erwägungen</w:t>
      </w:r>
    </w:p>
    <w:p>
      <w:r>
        <w:rPr>
          <w:b/>
        </w:rPr>
        <w:t>E. 11</w:t>
      </w:r>
    </w:p>
    <w:p>
      <w:r>
        <w:t>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w:t>
      </w:r>
    </w:p>
    <w:p>
      <w:r>
        <w:t>- 6/14 - A/260/2017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édition,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w:t>
      </w:r>
    </w:p>
    <w:p>
      <w:r>
        <w:rPr>
          <w:b/>
        </w:rPr>
        <w:t>E. 15</w:t>
      </w:r>
    </w:p>
    <w:p>
      <w:r>
        <w:t>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En l'espèce, la recourante, société ayant pour but, entre autres, la location de taxis et des permis permettant d'exercer le métier avec un usage accru du domaine public, elle est sans conteste susceptible de se voir appliquer la loi contestée.</w:t>
      </w:r>
    </w:p>
    <w:p>
      <w:r>
        <w:t>Il en résulte que le recours est recevable. 4)</w:t>
      </w:r>
    </w:p>
    <w:p>
      <w:r>
        <w:t>Saisie d’un recours, la chambre constitutionnelle contrôle librement le respect des normes cantonales attaquées au droit supérieur (art. 124 let. a Cst-GE ; art. 61 al. 1 LPA) ; elle est liée par les conclusions des parties, mais non par les</w:t>
      </w:r>
    </w:p>
    <w:p>
      <w:r>
        <w:t>- 7/14 - A/260/2017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(ACST/7/2016 précité consid. 5 ; ACST/13/2015 précité consid. 4a ; ACST/12/2015 précité consid 4b ; ACST/7/2015 précité consid 3a ; ACST/1/2015 précité consid 4b ; ACST/2/2014 précité consid 5a).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 6)</w:t>
      </w:r>
    </w:p>
    <w:p>
      <w:r>
        <w:t>La recourante invoque une violation de l'interdiction de l'arbitraire (art. 9 Cst. et 17 Cst-GE), limitant son grief à l'inclusion des fermiers et employés, pouvant désormais se voir octroyer un permis d'usage accru du domaine public dans le cadre de l'art. 46 al. 2 LTVTC.</w:t>
      </w:r>
    </w:p>
    <w:p>
      <w:r>
        <w:t>- 8/14 - A/260/2017 7)</w:t>
      </w:r>
    </w:p>
    <w:p>
      <w:r>
        <w:t>L’interdiction de l’arbitraire dans la loi, résultant de l’art. 9 Cst., s’oppose à ce qu’une norme ne repose pas sur des motifs sérieux, soit dépourvue de sens et de but, ou viole gravement un principe juridique incontesté (ATF 141 I 235 consid. 7.1 ; 136 I 241 consid. 3.1 ; 133 I 259 consid. 3b ; ACST/13/2015 du 30 juillet 2015 consid. 6e ; ACST/1/2015 du 23 janvier 2015 consid. 9a in fine). 8) a. En l'espèce, la LTVTC prévoit que tout titulaire de la carte professionnelle de chauffeur de taxi qui exploite un taxi de service privé en qualité d'indépendant ou travaille comme employé ou fermier d'un titulaire d'une autorisation d'exploiter un taxi ou une entreprise de taxis de service public au sens de la LTaxis, délivrée avant le 1er juin 2015, qui lors de l'entrée en vigueur de la présente loi, exerce de manière effective sa profession, peut demander une autorisation d'usage accru du domaine public (art. 46 al. 2 LTVTC). Il s'agit ici d'une faculté et non d'une obligation.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w:t>
      </w:r>
    </w:p>
    <w:p>
      <w:r>
        <w:t>b. Même s'il n'est pas contesté que la disposition litigieuse accroîtra l'utilisation accrue du domaine public par le biais des nouvelles autorisations qui seront délivrées, cela n'en empêchera pour autant pas une utilisation optimale, les chauffeurs de taxi pouvant mettre en place des mesures organisationnelles internes pour y faire face.</w:t>
      </w:r>
    </w:p>
    <w:p>
      <w:r>
        <w:t>c. De même, au sens de l'art. 42 LTVTC, le Conseil d'État s'est vu confier le mandat d'analyser les effets de la nouvelle loi après deux ans d'application, ce qui lui permettra, cas échéant, d'apporter les ajustements nécessaires, en disposant de la compétence de limiter le nombre d'autorisations maximales octroyées suite à un examen périodique de la situation (art. 10 al. 2 et 3 LTVTC).</w:t>
      </w:r>
    </w:p>
    <w:p>
      <w:r>
        <w:t>d. La chambre constitutionnelle, comme déjà mentionné, ne contrôle pas l'opportunité ou le caractère judicieux des normes qui sont déférées devant elles, mais seulement leur conformité au droit supérieur. Cela étant, les motifs avancés par le Grand Conseil – quand bien même ils sont considérés comme contestables par la recourante – ne peuvent être qualifiés de subjectifs ou de peu sérieux, la réglementation en cause n'étant pas dépourvue de sens ni de but.</w:t>
      </w:r>
    </w:p>
    <w:p>
      <w:r>
        <w:t>Il en découle que le grief de la violation de l'interdiction de l'arbitraire doit être écarté. 9)</w:t>
      </w:r>
    </w:p>
    <w:p>
      <w:r>
        <w:t>La recourante invoque ensuite la violation de droits acquis et des règles de la bonne foi (art. 9 Cst. et 17 Cst-GE), en estimant que la délivrance par l'autorité des permis de service public emporte des assurances de sa part, impliquant l'utilisation effective desdits permis et la possibilité de conclure des baux à ferme.</w:t>
      </w:r>
    </w:p>
    <w:p>
      <w:r>
        <w:t>- 9/14 - A/260/2017 Elle estime que ses chauffeurs fermiers mettront probablement fin à leurs baux pour exercer la profession comme indépendants, ce qui pourrait causer la faillite de sa société. 10) a.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n. 167 p. 281 s. ; Pierre MOOR/ Alexandre FLÜCKIGER/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Alexandre FLÜCKIGER/ Vincent MARTENET, op. cit., vol. I, p. 190 ss ; Thierry TANQUEREL, op. cit., n. 418 s.).</w:t>
      </w:r>
    </w:p>
    <w:p>
      <w:r>
        <w:t>b.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n. 167 p. 280 s. ; Pierre MOOR/ Étienne POLTIER, Droit administratif, vol. II, 3ème éd., 2011, p. 19 ss ; Thierry TANQUEREL, op. cit., n. 756 ss). Elle peut aussi résulter d’assurances données par une autorité ; elle se trouve protégée aux conditions d’application du droit</w:t>
      </w:r>
    </w:p>
    <w:p>
      <w:r>
        <w:t>- 10/14 - A/260/2017 constitutionnel de toute personne d'être traitée par les organes de l’État conformément aux règles de la bonne foi (art. 9 Cst.). L'administration est en effet liée par des renseignements inexacts (et a fortiori des assurances erronées) qu'elle a donnés, cumulativement si elle était compétente (à tout le moins apparemment) pour ce faire, si les renseignements en question étaient inexacts, ont été fournis sans réserve, en termes clairs et catégoriques, en rapport avec une situation concrète déterminée, si l'inexactitude ne tient pas à un changement subséquent de la loi, si l'administré n'a pas été en mesure, en faisant preuve d'un minimum d'attention, de reconnaître l'erreur, et s'il a pris, en se fiant à ces renseignements, des dispositions irréversibles (Pierre MOOR/ Alexandre FLÜCKIGER/ Vincent MARTENET, op. cit., vol. I, p. 917 ss).</w:t>
      </w:r>
    </w:p>
    <w:p>
      <w:r>
        <w:t>c. Compte tenu de la rigueur des conséquences que peut avoir la modification d’un régime juridique, le législateur peut être tenu, en vertu des principes de la proportionnalité et de la confiance, d’adopter des règles transitoires aux fins de permettre aux personnes concernées de s’adapter à la nouvelle situation légale, autrement dit de faciliter le passage d’un régime juridique à l’autre (ATF 134 I 23 ; 130 I 26 consid. 8.1 ; 123 II 385 consid. 9 ; 122 V 405 consid. 3b/bb ; ACST/13/2015 précité consid. 7 et jurisprudence citée ; Pascal MAHON, op. cit., vol. I, n. 167 p. 279 s. ; Pierre MOOR/ Alexandre FLÜCKIGER/ Vincent MARTENET, op. cit., vol. I, p. 193). 11) Le principe de la bonne foi (art. 9 Cst.) procure un droit à la protection de la confiance légitime du citoyen résultant des assurances reçues des autorités ou de tout autre comportement fondant des attentes déterminées de sa part, dans la mesure où ce comportement se réfère à un cas concret, qui touche le citoyen concerné (ATF 130 I 26 consid. 8.1 ; 129 I 161 consid. 4.1 et 4.2 ; 126 II 377 consid. 3a ; ATF 122 II 113 consid. 3b.cc = JdT 1998 I 570). Cette protection disparaît en règle générale en cas de modifications de la législation, étant donné que, selon le principe démocratique, l'ordre juridique peut en principe être modifié en tout temps. Le principe de la confiance ne peut s'opposer à une modification du droit que lorsque cette modification contrevient à l'interdiction de la rétroactivité ou porte atteinte à des droits acquis (ATF 130 I 26 consid. 8.1 ; 128 II 112 consid. 10b.aa ; 122 II 113 c. 3b.cc = JdT 1998 I 570). En outre, selon la jurisprudence, il se peut aussi que, pour des motifs liés au respect des principes de l'égalité, de la proportionnalité, de la prohibition de l'arbitraire, ainsi que de la protection de la confiance, il s'impose, sur le plan constitutionnel, de créer le cas échéant une réglementation transitoire appropriée (ACST/17/2015 du 2 septembre 2015 consid. 23d ; ACST/13/2015 du 30 juillet 2015 consid. 7). Celle-ci doit ainsi empêcher que des investissements réalisés de bonne foi se révèlent vains (ATF 130 I 26 consid. 8.1 ; 125 II 152 consid. 5 ; 123 II 433 consid. 9 ; 118 Ib 241 consid. 6c et 9b = JdT 1994 I 397) ; elle doit permettre aux administrés de s'adapter à la nouvelle réglementation et non pas de profiter le plus</w:t>
      </w:r>
    </w:p>
    <w:p>
      <w:r>
        <w:t>- 11/14 - A/260/2017 longtemps possible de l'ancien régime plus favorable (ATF 134 I 23 consid. 7.6.1 ; 123 II 385 consid. 9).</w:t>
      </w:r>
    </w:p>
    <w:p>
      <w:r>
        <w:t>En l'espèce, la recourante ne se voit pas empêchée par l'art. 46 al. 2 LTVTC de mettre à disposition, par le biais de baux à ferme, ses véhicules, lesquels pourront également continuer à faire un usage accru du domaine public.</w:t>
      </w:r>
    </w:p>
    <w:p>
      <w:r>
        <w:t>Il ne peut en l'état être tenu pour certain que les fermiers de la recourante voudront exercer la profession en qualité d'indépendants et mettre ainsi fin à leurs baux. Comme énoncé à juste titre par l'intimé, il ne s'agit que d'une hypothèse, le statut d'indépendant impliquant des contraintes notamment financières, telles que l'achat d'un véhicule, ou encore son équipement et entretien, le paiement de tous les frais y relatifs ainsi que ceux en lien avec une utilisation d'usage accru du domaine public.</w:t>
      </w:r>
    </w:p>
    <w:p>
      <w:r>
        <w:t>De surcroît, il n'existe aucun droit acquis en lien avec les autorisations d'usage accru du domaine public ou en relation au nombre maximal de ces dernières pouvant être délivrées.</w:t>
      </w:r>
    </w:p>
    <w:p>
      <w:r>
        <w:t>Ces griefs seront, par conséquent, également écartés. 12) La recourante invoque ensuite une violation de la liberté économique (art. 27 al. 1 et 94 al. 1 Cst. et art. 35 Cst-GE) en se référant à l'ancienne jurisprudence du Tribunal fédéral (ATF 79 I 334) qui interdisait de créer une seule catégorie de taxis et de soumettre ainsi la profession à un numerus clausus, déterminé par des besoins d'intérêt public.</w:t>
      </w:r>
    </w:p>
    <w:p>
      <w:r>
        <w:t>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w:t>
      </w:r>
    </w:p>
    <w:p>
      <w:r>
        <w:t>b. Des restrictions cantonales à la liberté économique sont admissibles, mais elles doivent reposer sur une base légale, être justifiées par un intérêt public prépondérant et respecter le principe de proportionnalité (art. 36 al. 1 à 3 Cst.).</w:t>
      </w:r>
    </w:p>
    <w:p>
      <w:r>
        <w:t>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w:t>
      </w:r>
    </w:p>
    <w:p>
      <w:r>
        <w:t>- 12/14 - A/260/2017 consid. 4.1). Sont en revanche prohibées les mesures de politique économique ou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w:t>
      </w:r>
    </w:p>
    <w:p>
      <w:r>
        <w:t>d.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 13) En l'espèce, la nouvelle loi prévoit deux catégories de chauffeurs professionnels, les taxis proprement dits et les VTC, lesquels ne disposent pas d'une autorisation d'usage accru du domaine public. Ces derniers correspondent dans une certaine mesure aux taxis privés de la LTaxis, avec comme principale différence l'impossibilité de porter l'enseigne « taxi » (art. 4 let. a et b LTVTC). En conséquence, même si la LTVTC prévoit une seule catégorie de taxis soumise à un numerus clausus, elle établit deux catégories de transporteurs.</w:t>
      </w:r>
    </w:p>
    <w:p>
      <w:r>
        <w:t>La jurisprudence du Tribunal fédéral à laquelle se réfère la recourante, remontant par ailleurs aux années 1950, prévoit que le mot « taxi » exprime la nature des services offerts et représente un moyen de publicité indispensable. Notre haute Cour avait jugé contraire à la liberté du commerce d'interdire aux voitures de transport professionnel de personnes d'employer la désignation « taxi ». Elle avait également déclaré que si l'État « soumettait la profession des chauffeurs de taxi dans son ensemble à un numerus clausus déterminé par les besoins du public », il prendrait une mesure de politique économique contraire à la liberté économique.</w:t>
      </w:r>
    </w:p>
    <w:p>
      <w:r>
        <w:t>Ce concept de « taxi » doit aujourd'hui être relativisé et apprécié à l'aune de la situation actuelle. En effet, l'évolution des techniques de communication, telles que des plateformes de mises en relation ou les systèmes de co-voiturage, ne permettent plus de faire de l'enseigne « taxi » la référence pour le transport de personnes. La création de la catégorie « VTC » permet de conserver un équilibre répondant à l'intérêt public à limiter le nombre de taxis et à la protection de la liberté économique de tous les acteurs susceptibles d'exercer dans cette branche. En effet, les personnes voulant exercer la profession de chauffeur de « taxi » au sens de la jurisprudence invoquée par la recourante, pourront toujours le faire d'après la nouvelle législation, mais sous la dénomination de VTC. D'ailleurs, même en présence d'un numerus clausus, il existera toujours la faculté de déposer une requête afin d'obtenir une autorisation d'usage accru du domaine public</w:t>
      </w:r>
    </w:p>
    <w:p>
      <w:r>
        <w:t>- 13/14 - A/260/2017 (art. 11 LTVTC), par laquelle le requérant se pourrait voir placer dans une liste d'attente.</w:t>
      </w:r>
    </w:p>
    <w:p>
      <w:r>
        <w:t>Par conséquent, ce grief sera également écarté. 14) Vu le prononcé du présent arrêt, les conclusions en effet suspensif prises par les parties deviennent sans objet. 15) Entièrement mal fondé, le recours sera rejeté. 16) Vu l'issue du litige, un émolument de CHF 1'500.-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