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ACPR/99/2024 vom 30. August 2023</w:t>
      </w:r>
    </w:p>
    <w:p>
      <w:r>
        <w:t>GE Cour de justice, 2023-08-30, FR</w:t>
      </w:r>
    </w:p>
    <w:p>
      <w:r>
        <w:rPr>
          <w:b/>
        </w:rPr>
        <w:t xml:space="preserve">Quelle: </w:t>
      </w:r>
      <w:r>
        <w:t>https://mcp.opencaselaw.ch/entscheid/ge_gerichte_ACPR_99_2024</w:t>
      </w:r>
    </w:p>
    <w:p>
      <w:r>
        <w:t>FR: GE_GERICHTE ACPR/99/2024 du 30 août 2023</w:t>
      </w:r>
    </w:p>
    <w:p>
      <w:r>
        <w:t>IT: GE_GERICHTE ACPR/99/2024 del 30 agosto 2023</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a été interjeté selon la forme et – les formalités de notification (art. 85 al. 2 CPP) n'ayant pas été observées – dans le délai prescrits (art. 385 al. 1 et 396 al. 1 CPP), à l’encontre d’une décision sujette à recours auprès de la Chambre de céans (art. 310 al. 2 cum 322 al. 2 CPP; art. 393 al. 1 let. a CPP). 2.2.1. Reste à savoir si la recourante, constituée partie plaignante (art. 104 al. 1 let. b CPP), a qualité pour agir (art. 382 al. 1 CPP). Les conditions de recevabilité d'un recours s'examinent, en effet, d'office, et toute partie recourante peut et doit s'attendre qu'une telle question soit examinée, sans qu'il n'en résulte de violation de son droit d'être entendue à cet égard (arrêt du Tribunal fédéral 6B_1207/2013 du 14 mai 2014 consid. 2.1). 2.2.2. 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La notion de lésé est définie à l'art. 115 CPP. Il s'agit</w:t>
      </w:r>
    </w:p>
    <w:p>
      <w:r>
        <w:t>- 6/11 - P/11886/2022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(arrêt du Tribunal fédéral 1B_576/2018 du 26 juillet 2019 consid. 2.3). 2.2.3. L'art. 304 CP a pour but la protection exclusive de la justice pénale, soit un intérêt collectif (ACPR/738/2018 du 10 décembre 2018 consid. 4.2; ACPR/813/2016 du 23 décembre 2016 consid. 1.3.ii. et ACPR/194/2022 du 21 mars 2022, consid. 2.2; A. MACALUSO / L. MOREILLON / N. QUELOZ (éds), Commentaire romand, Code pénal II, vol. II, Partie spéciale : art. 111-392 CP, Bâle 2017, n. 1 ad art. 304; M. DUPUIS / L. MOREILLON / C. PIGUET / S. BERGER / M. MAZOU / V. RODIGARI (éds), Code pénal - Petit commentaire, 2ème éd., Bâle 2017, n. 1 ad art. 304), et non un intérêt individuel, tel que l'honneur.</w:t>
      </w:r>
    </w:p>
    <w:p>
      <w:r>
        <w:rPr>
          <w:b/>
        </w:rPr>
        <w:t>E. 2.3</w:t>
      </w:r>
    </w:p>
    <w:p>
      <w:r>
        <w:t>En l'occurrence, la recourante n'étant pas directement lésée par le refus du Ministère public d'entrer en matière sur l'infraction visée par l'art. 304 CP, le recours est irrecevable sur ce point. Pour le surplus, il est recevable. En effet, la recourante est directement touchée par l'infraction de dénonciation calomnieuse (art. 303 CP), qui, elle, tend à protéger non seulement l'administration de la justice, mais également la personne qui se prétend faussement accusée dans divers biens juridiquement protégés, tels l'honneur (ATF 132 IV 20 consid. 4.1; arrêt du Tribunal fédéral 6B_243/2015 du 12 juin 2015 consid. 2.2). Il en va de même concernant les autres infractions dénoncées invoquant des atteintes à son honneur, son patrimoine voire à sa liberté.</w:t>
      </w:r>
    </w:p>
    <w:p>
      <w:r>
        <w:rPr>
          <w:b/>
        </w:rPr>
        <w:t>E. 2.4</w:t>
      </w:r>
    </w:p>
    <w:p>
      <w:r>
        <w:t>Les courriers adressés les 31 octobre et 13 novembre 2023 ne sont pas recevables car déposés hors délai – plus d'un mois après le recours, soit manifestement plus de 10 jours après la connaissance de la décision querellée – et la Chambre de céans n'ayant pas estimé que le recours devait être complété.</w:t>
      </w:r>
    </w:p>
    <w:p>
      <w:r>
        <w:t>- 7/11 - P/11886/2022 Par conséquent, ils ne seront pas pris en compte. Au surplus, à toutes fins utiles, il est précisé que la demande formulée dans ceux-ci ne relève pas de la compétence de la Chambre de céans.</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rPr>
          <w:b/>
        </w:rPr>
        <w:t>E. 3.2</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3.3</w:t>
      </w:r>
    </w:p>
    <w:p>
      <w:r>
        <w:t>L'art. 303 al. 1 CP réprime notamment du chef de dénonciation calomnieuse quiconque dénonce à l'autorité, comme auteur d'un crime ou d'un délit, une personne qu'il sait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w:t>
      </w:r>
    </w:p>
    <w:p>
      <w:r>
        <w:t>- 8/11 - P/11886/2022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3.4</w:t>
      </w:r>
    </w:p>
    <w:p>
      <w:r>
        <w:t>En l'espèce, s'agissant de la prescription retenue par le Ministère public pour les faits susceptibles d'être constitutifs de diffamation, calomnie et menaces remontant à 2018 et 2019, n'étant pas remise en cause dans le recours, elle ne sera pas discutée par la Chambre de céans. Pour le surplus, on peine à voir en quoi les éléments mentionnés dans le recours, quand bien même ils feraient état d'incohérences et/ou de contradictions de la part de la mise en cause, seraient susceptibles de modifier la décision querellée. En effet, les arguments exposés par la recourante ne permettent aucunement de déceler d'éventuelles erreurs ou imprécisions dans l'ordonnance attaquée, susceptibles d'en modifier le résultat. À cet égard, c'est à juste titre que le Ministère public a retenu que les griefs formulés par la mise en cause, dans le cadre de procédures pour lesquelles les juridictions civiles et pénales lui avaient, à tout le moins partiellement, donné raison, n'étaient pas infondés, de sorte qu'ils ne pouvaient réaliser, dans les circonstances du cas d'espèce, une quelconque infraction. Ainsi, seules les infractions dénoncées et qui ont été classées ou pour lesquelles la recourante a été acquittée, à savoir le vol et l'usure, pourraient réaliser l'infraction de dénonciation calomnieuse. Or, le seul fait que dans sa plainte la mise en cause avait déclaré l'absence d'un ordinateur C______ rouge et que, par la suite, elle avait produit des photographies d'un D______ noir, n'est pas de nature, dans le cas d'espèce – en son absence et sans son autorisation entrée dans son appartement de la bailleresse, avec laquelle elle était en litige, changement de serrures par celle-là et absence de biens depuis lors –, à considérer, pour autant, que la mise en cause savait la recourante innocente de la soustraction de son ordinateur et entendait faire ouvrir une procédure de manière injustifiée. Quant à l'usure, il ressort des différents éléments au dossier qu'elle avait été envisagée par le Ministère public à la suite des déclarations de la recourante et qu'au stade de la deuxième instance, la mise en cause avait retiré son appel concernant cette infraction. En outre, la recourante avait été condamnée par le Tribunal des baux et loyers à rembourser le trop perçu des loyers.</w:t>
      </w:r>
    </w:p>
    <w:p>
      <w:r>
        <w:t>- 9/11 - P/11886/2022 Enfin, les paroles de la mise en cause selon lesquelles elle avait "peur de potentielles représailles" de la part de la recourante, sans autre détail, ou que "suite à des travaux effectués le 8 janvier 2019 par Mme A______ qui provoque un incendie dans mon logement", ne sont pas de nature à réaliser les éléments constitutifs d'une quelconque infraction, y compris de constituer une quelconque atteinte à l'honneur au sens pénal. Partant, la décision attaquée ne prête pas le flanc à la critique.</w:t>
      </w:r>
    </w:p>
    <w:p>
      <w:r>
        <w:rPr>
          <w:b/>
        </w:rPr>
        <w:t>E. 4</w:t>
      </w:r>
    </w:p>
    <w:p>
      <w:r>
        <w:t>Justifiée, l'ordonnance querellée sera donc confirmée et le recours rejeté.</w:t>
      </w:r>
    </w:p>
    <w:p>
      <w:r>
        <w:rPr>
          <w:b/>
        </w:rPr>
        <w:t>E. 5</w:t>
      </w:r>
    </w:p>
    <w:p>
      <w:r>
        <w:t>La recourante, qui succombe, supportera les frais envers l'État, fixés en totalité à CHF 1'000.- (art. 428 al. 1 CPP et 13 al. 1 du Règlement fixant le tarif des frais en matière pénale, RTFMP ; E 4 10.03). * * * * *</w:t>
      </w:r>
    </w:p>
    <w:p>
      <w:r>
        <w:t>- 10/11 - P/11886/2022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