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ACPR/998/2025 vom 23. Oktober 2025</w:t>
      </w:r>
    </w:p>
    <w:p>
      <w:r>
        <w:t>GE Cour de justice, 2025-10-23, FR</w:t>
      </w:r>
    </w:p>
    <w:p>
      <w:r>
        <w:rPr>
          <w:b/>
        </w:rPr>
        <w:t xml:space="preserve">Quelle: </w:t>
      </w:r>
      <w:r>
        <w:t>https://mcp.opencaselaw.ch/entscheid/ge_gerichte_ACPR_998_2025</w:t>
      </w:r>
    </w:p>
    <w:p>
      <w:r>
        <w:t>FR: GE_GERICHTE ACPR/998/2025 du 23 octobre 2025</w:t>
      </w:r>
    </w:p>
    <w:p>
      <w:r>
        <w:t>IT: GE_GERICHTE ACPR/998/2025 del 23 ottobre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à l'établissement de son profil d'ADN.</w:t>
      </w:r>
    </w:p>
    <w:p>
      <w:r>
        <w:t>- 4/8 - P/24001/2025</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 ci, mais il faudra tenir compte de cet élément dans la pesée d'intérêts à réaliser (ATF 145 IV 263 consid. 3.4 et les références citées; arrêts du Tribunal fédéral 1B_259/2022 précité consid. 4.3; 1B_230/2022 du 7 septembre 2022 consid. 2.2).</w:t>
      </w:r>
    </w:p>
    <w:p>
      <w:r>
        <w:rPr>
          <w:b/>
        </w:rPr>
        <w:t>E. 3.4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w:t>
      </w:r>
    </w:p>
    <w:p>
      <w:r>
        <w:t>- 5/8 - P/24001/2025 récidives) (cf. Message relatif à la loi fédérale sur l’utilisation de profils d’ADN dans le cadre d’une procédure pénale et sur l’identification de personnes inconnues ou disparues, FF 2001 19ss, 45).</w:t>
      </w:r>
    </w:p>
    <w:p>
      <w:r>
        <w:rPr>
          <w:b/>
        </w:rPr>
        <w:t>E. 3.5</w:t>
      </w:r>
    </w:p>
    <w:p>
      <w:r>
        <w:t>En l’espèce, l'établissement du profil d'ADN du recourant a été ordonné pour élucider, non pas les infractions en cours d'instruction, mais d'autres actes contraires à la LStup, dès lors qu'il avait déjà été soupçonné pour des faits similaires. Le recourant ne prétend pas que les conditions de l’art. 255 al. 1bis CPP ne seraient pas réalisées, au vu de ses précédentes condamnations pour délits à la LStup. Il soutient en revanche que la mesure serait disproportionnée car il a déjà fait l’objet d’établissements de son profil d’ADN lors de ses précédentes arrestations. Or, il ne paraît ni arbitraire ni contraire au principe de la proportionnalité que chaque arrestation d’un prévenu, qui conduit à la condamnation de ce dernier, puisse donner lieu à l’établissement d’un profil d’ADN, si les conditions de l’art. 255 CPP sont remplies – ce qui est le cas ici –. La Chambre de céans est en effet d'avis [cf. notamment, ACPR/400/2025 du 23 mai 2025 consid. 2.3] que dans la mesure où les profils d'ADN sont soumis à effacement après un certain délai [cf. art. 16 de la loi sur les profils d'ADN],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n'interviendrait que dans dix ou vingt ans. Le recourant soutient que le nouvel établissement de son profil d’ADN rendrait "lettre morte" l’art. 17 de la loi sur les profils d’ADN, mais la Chambre de céans ne partage pas cette opinion. Cette disposition prévoit la possibilité de prolonger la durée de</w:t>
      </w:r>
    </w:p>
    <w:p>
      <w:r>
        <w:t>- 6/8 - P/24001/2025 conservation lorsque le condamné présente un risque de récidive, c’est-à-dire dans les cas où l’intéressé, après avoir été condamné, n’a pas récidivé mais présente des caractéristiques faisant craindre une réitération. Or, dans le cas du recourant, le Ministère public a ordonné le nouvel établissement du profil d’ADN car l’intéressé est à nouveau soupçonné d’avoir commis de nouvelles infractions pour lesquelles l’établissement d’un profil d’ADN est autorisé par l’art. 255 CPP. Dans le cas présent, une telle mesure, fondée sur la loi, en vue de prolonger d’autant le délai de conservation du profil, ne paraît pas disproportionnée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apparemment pas été mis à sa charge dans l'ordonnance pénale prononcée. Que le coût de l’ordonnance querellée, qu’il estime à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le délai d'effacement du profil d'ADN n'a pas à être mentionné expressément dans l'ordonnance d'établissement d'un tel profil, mais dans l'ordonnance pénale (ou le jugement) faisant suite à cette mesure (cf. art. 353 al. 1 let. fbis CPP). En effet,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w:t>
      </w:r>
    </w:p>
    <w:p>
      <w:r>
        <w:rPr>
          <w:b/>
        </w:rPr>
        <w:t>E. 4</w:t>
      </w:r>
    </w:p>
    <w:p>
      <w:r>
        <w:t>Justifiée, l'ordonnance querellée sera donc confirmée.</w:t>
      </w:r>
    </w:p>
    <w:p>
      <w:r>
        <w:rPr>
          <w:b/>
        </w:rPr>
        <w:t>E. 5</w:t>
      </w:r>
    </w:p>
    <w:p>
      <w:r>
        <w:t>Le recourant, qui succombe, supportera les frais envers l'État, qui seront fixés en totalité à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