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ACPR/997/2025 vom 14. November 2025</w:t>
      </w:r>
    </w:p>
    <w:p>
      <w:r>
        <w:t>GE Cour de justice, 2025-11-14, FR</w:t>
      </w:r>
    </w:p>
    <w:p>
      <w:r>
        <w:rPr>
          <w:b/>
        </w:rPr>
        <w:t xml:space="preserve">Quelle: </w:t>
      </w:r>
      <w:r>
        <w:t>https://mcp.opencaselaw.ch/entscheid/ge_gerichte_ACPR_997_2025</w:t>
      </w:r>
    </w:p>
    <w:p>
      <w:r>
        <w:t>FR: GE_GERICHTE ACPR/997/2025 du 14 novembre 2025</w:t>
      </w:r>
    </w:p>
    <w:p>
      <w:r>
        <w:t>IT: GE_GERICHTE ACPR/997/2025 del 14 novembre 2025</w:t>
      </w:r>
    </w:p>
    <w:p>
      <w:pPr>
        <w:pStyle w:val="Heading2"/>
      </w:pPr>
      <w:r>
        <w:t>Erwägungen</w:t>
      </w:r>
    </w:p>
    <w:p>
      <w:r>
        <w:rPr>
          <w:b/>
        </w:rPr>
        <w:t>E. 14</w:t>
      </w:r>
    </w:p>
    <w:p>
      <w:r>
        <w:t>novembre 2025 omettait de préciser le délai d’effacement de son profil d’ADN (art. 353 al. 1 let. fbis CPP), élément pourtant déterminant dans l’appréciation du respect du principe de la proportionnalité, dès lors qu’il permettait d’évaluer cas échéant la possibilité d’en solliciter la prolongation. Son profil d'ADN pourrait de toute façon être conservé pendant dix ans au minimum après l'entrée en force du jugement, étant précisé qu'un nouveau délai de dix ans pouvait être prononcé par l'autorité de jugement après l'expiration du délai d'effacement. Il ne se justifiait ainsi aucunement d'en ordonner un nouvel établissement, ce d'autant que celui-ci ne changeait pas "au cours de la vie d'un être humain". Une telle mesure était "arbitraire", "inutile" et portait atteinte à sa liberté personnelle et à son droit d'être protégé contre l'emploi abusif des données le concernant (art. 8 CEDH). b. À réception du recours,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2. Le recourant s’oppose à l’établissement de son profil d’ADN. 2.1. 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- 5/10 - P/25944/2025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2.2. 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2.3.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w:t>
      </w:r>
    </w:p>
    <w:p>
      <w:r>
        <w:rPr>
          <w:b/>
        </w:rPr>
        <w:t>E. 15</w:t>
      </w:r>
    </w:p>
    <w:p>
      <w:r>
        <w:t>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 2.4. 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 2.5. En l’espèce, l'établissement du profil d'ADN du recourant a été ordonné pour élucider, non pas les infractions en cours d'instruction, mais d'autres actes contraires à la LStup, dès lors qu'il avait déjà été soupçonné pour des faits similaires.</w:t>
      </w:r>
    </w:p>
    <w:p>
      <w:r>
        <w:t>- 6/10 - P/25944/2025 À cet égard, il existe des indices sérieux et concrets de la commission, par le recourant, de tels actes punissables. En effet, il a été condamné, le 12 mars 2021, pour délit contre la loi sur les stupéfiants (art. 19 al. 1 let. c LStup), soit en lien avec des agissements qui dépassent le stade de la simple consommation personnelle. Ces condamnations à la LStup vont de pair avec des reproches répétés de situation irrégulière en Suisse, étant précisé que, pendant la période allant de mars 2021 à octobre 2023, l'intéressé a été condamné à quatre reprises pour des infractions à la législation sur les étrangers. Il est enfin poursuivi, dans le cadre de la présente procédure, pour des faits susceptibles d'être constitutifs de délit contre la loi sur les stupéfiants (art. 19 al. 1 let. c et d LStup), faits pour lesquels il a été condamné par ordonnance pénale du 14 novembre 2025, étant à cet égard précisé que, bien que le recourant ait fait opposition à cette ordonnance, il a admis les faits, à savoir d’avoir vendu deux boulettes de cocaïne le 13 précédent. Ces éléments laissent craindre un ancrage dans la délinquance liée aux stupéfiants et permettent de penser que l'intéressé pourrait être, quoiqu’il en dise,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w:t>
      </w:r>
    </w:p>
    <w:p>
      <w:r>
        <w:t>- 7/10 - P/25944/2025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ordonnance contre laquelle le recourant a d’ailleurs formé opposition. En effet, selon l'issue de la procédure, l'intérêt public à disposer du profil d'ADN de l'intéressé ne sera pas le même, de sorte qu'il appartient au juge du fond de trancher cette question.</w:t>
      </w:r>
    </w:p>
    <w:p>
      <w:r>
        <w:t>- 8/10 - P/25944/2025 Il s'ensuit que l'ordonnance querellée ne prête pas le flanc à la critique, les réquisits pour le prononcé de l'établissement du profil d'ADN du recourant étant réunis. 3. Justifiée, l'ordonnance querellée sera donc confirmée. Le recours, qui s'avère mal fondé, pouvait d'emblée être traité sans échange d'écritures ni débats (art. 390 al. 2 et 5 a contrario CPP). 4. Le recourant, qui succombe, supportera les frais envers l'État, fixés en totalité à CHF 600.- (art. 428 al. 1 CPP et 13 al. 1 du Règlement fixant le tarif des frais en matière pénale, RTFMP ; E 4 10.03). 5. Corrélativement, aucun dépens ne lui sera alloué (ATF 144 IV 207, consid. 1.8.2). * * * * *</w:t>
      </w:r>
    </w:p>
    <w:p>
      <w:r>
        <w:t>- 9/10 - P/25944/2025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