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ACPR/97/2023 vom 14. Dezember 2022</w:t>
      </w:r>
    </w:p>
    <w:p>
      <w:r>
        <w:t>GE Cour de justice, 2022-12-14, FR</w:t>
      </w:r>
    </w:p>
    <w:p>
      <w:r>
        <w:rPr>
          <w:b/>
        </w:rPr>
        <w:t xml:space="preserve">Quelle: </w:t>
      </w:r>
      <w:r>
        <w:t>https://mcp.opencaselaw.ch/entscheid/ge_gerichte_ACPR_97_2023</w:t>
      </w:r>
    </w:p>
    <w:p>
      <w:r>
        <w:t>FR: GE_GERICHTE ACPR/97/2023 du 14 décembre 2022</w:t>
      </w:r>
    </w:p>
    <w:p>
      <w:r>
        <w:t>IT: GE_GERICHTE ACPR/97/2023 del 14 dicembre 2022</w:t>
      </w:r>
    </w:p>
    <w:p>
      <w:pPr>
        <w:pStyle w:val="Heading2"/>
      </w:pPr>
      <w:r>
        <w:t>Erwägungen</w:t>
      </w:r>
    </w:p>
    <w:p>
      <w:r>
        <w:rPr>
          <w:b/>
        </w:rPr>
        <w:t>E. 1.1</w:t>
      </w:r>
    </w:p>
    <w:p>
      <w:r>
        <w:t>À teneur de l'art. 396 al. 1 CPP, le recours contre les décisions notifiées par écrit ou oralement est motivé et adressé par écrit, dans le délai de dix jours, à l'autorité de recours.</w:t>
      </w:r>
    </w:p>
    <w:p>
      <w:r>
        <w:t>Les autorités pénales notifient leurs prononcés par lettre signature ou par tout autre mode de communication impliquant un accusé de réception (art. 85 al. 2 CPP).</w:t>
      </w:r>
    </w:p>
    <w:p>
      <w:r>
        <w:t>Les délais fixés en jours commencent à courir le jour qui suit leur notification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 Les écrits doivent être remis au plus tard le dernier jour du délai à l'autorité</w:t>
      </w:r>
    </w:p>
    <w:p>
      <w:r>
        <w:t>- 4/9 - P/24284/2022 pénale, à la Poste suisse ou à une représentation consulaire ou diplomatique suisse (art. 91 al. 2).</w:t>
      </w:r>
    </w:p>
    <w:p>
      <w:r>
        <w:rPr>
          <w:b/>
        </w:rPr>
        <w:t>E. 1.2</w:t>
      </w:r>
    </w:p>
    <w:p>
      <w:r>
        <w:t>En l'espèce, à teneur du tampon figurant sur l'enveloppe contenant l'acte de recours, celui-ci a été expédié par la Poste le mardi 27 décembre 2022, soit le lendemain du jour que le recourant considère comme le premier jour ouvrable suivant l'expiration du délai de 10 jours. À cette aune, le recours semble tardif.</w:t>
      </w:r>
    </w:p>
    <w:p>
      <w:r>
        <w:t>Rien ne permet par ailleurs d'affirmer que le recourant aurait effectivement déposé le pli recommandé dans une boîte aux lettres de la Poste le lundi 26 décembre 2022 à 17h00, faute notamment de mention signée par un témoin, au dos de l'enveloppe du pli (cf. arrêt du Tribunal fédéral 5A_267/2008 du 16 octobre 2008 consid. 2 et 3), une photo montrant le pli inséré dans une boîte postale n'apparaissant pas suffisante.</w:t>
      </w:r>
    </w:p>
    <w:p>
      <w:r>
        <w:t>L'ordonnance litigieuse ayant toutefois été communiquée par pli simple, on ignore à quelle date le recourant l'a effectivement reçue, lui-même ne le précisant pas. On ne peut dès lors inférer que le dernier jour du délai pour recourir tombait le samedi 24 décembre 2022 ou le dimanche 25 décembre 2022, reporté au lundi 26 suivant.</w:t>
      </w:r>
    </w:p>
    <w:p>
      <w:r>
        <w:t>Partant, faute de notification conforme à l'art. 85 al. 2 CPP, le recours sera considéré comme ayant été déposé dans le délai légal.</w:t>
      </w:r>
    </w:p>
    <w:p>
      <w:r>
        <w:t>Le recours est recevable au surplus pour avoir été déposé selon la forme prescrite (art. 385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rendu une ordonnance de non- entrée en matière alors qu'il existait des soupçons suffisants d'escroquerie.</w:t>
      </w:r>
    </w:p>
    <w:p>
      <w:r>
        <w:rPr>
          <w:b/>
        </w:rPr>
        <w:t>E. 2.1</w:t>
      </w:r>
    </w:p>
    <w:p>
      <w:r>
        <w:t>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principe "in dubio pro duriore"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w:t>
      </w:r>
    </w:p>
    <w:p>
      <w:r>
        <w:t>- 5/9 - P/24284/2022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w:t>
      </w:r>
    </w:p>
    <w:p>
      <w:r>
        <w:rPr>
          <w:b/>
        </w:rPr>
        <w:t>E. 2.2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w:t>
      </w:r>
    </w:p>
    <w:p>
      <w:r>
        <w:t>De jurisprudence constante, celui qui promet une prestation sans avoir l'intention de l'exécuter agit astucieusement, parce qu'en promettant il donne le change sur ses véritables intentions, ce que sa victime est dans l'impossibilité de vérifier. Toutefois, l'astuce doit être niée lorsque les vérifications qui étaient faisables sans trop de difficultés auraient révélé que l'auteur n'était pas capable d'exécuter son obligation (ATF 118 IV 359 consid. 2; TRECHSEL, Schweizerisches Strafgesetzbuch, Kurzkommentar, 2ème éd., no 9 ad art. 148 CP; cf. aussi AARP/174/2015 consid. 3.1).</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w:t>
      </w:r>
    </w:p>
    <w:p>
      <w:r>
        <w:t>- 6/9 - P/24284/2022</w:t>
      </w:r>
    </w:p>
    <w:p>
      <w:r>
        <w:t>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 ATF 128 IV 18 consid. 3a).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w:t>
      </w:r>
    </w:p>
    <w:p>
      <w:r>
        <w:rPr>
          <w:b/>
        </w:rPr>
        <w:t>E. 2.3</w:t>
      </w:r>
    </w:p>
    <w:p>
      <w:r>
        <w:t>En l'espèce, le mis en cause admet s'être engagé oralement à acheter 365 bouteilles de vodka E______ au recourant (386 bouteilles selon ce dernier, pour un montant de CHF 10'000.-). N'ayant finalement pas réussi à écouler toute la marchandise, il en a restitué la moitié au recourant, ce que ce dernier admet. Le solde de la marchandise, totalisant CHF 4'400.- selon le mis en cause et CHF 5'400.- selon le recourant, n'a pas été réglé.</w:t>
      </w:r>
    </w:p>
    <w:p>
      <w:r>
        <w:t>Si le caractère civil de la transaction litigieuse ne fait aucun doute, reste à examiner si le recourant a été astucieusement trompé par son cocontractant, cette condition étant nécessaire pour qu'il y ait escroquerie au sens de l'art. 146 CP.</w:t>
      </w:r>
    </w:p>
    <w:p>
      <w:r>
        <w:t>Or, on constate que le recourant a accepté de vendre et livrer au mis en cause, qu'il ne connaissait pas, un stock conséquent de bouteilles de vodka pour plusieurs milliers de francs, sans procéder à la moindre vérification sur son identité, qu'il ignorait même, ou sur sa solvabilité. Au surplus, aucun document écrit n'a été établi, tels que contrat ou reconnaissance de dette. Ces précautions élémentaires pouvaient difficilement échapper au recourant qui, de par son activité professionnelle, est rompu aux affaires.</w:t>
      </w:r>
    </w:p>
    <w:p>
      <w:r>
        <w:t>Par ailleurs, le fait que le mise en cause lui restitue la moitié de la marchandise quelques semaines plus tard semble démontrer qu'il avait bien pour intention initiale de la vendre en totalité et de s'acquitter du prix. Il n'aurait sûrement pas agi de la sorte s'il avait voulu l'escroquer.</w:t>
      </w:r>
    </w:p>
    <w:p>
      <w:r>
        <w:t>On peine ainsi à voir dans le comportement du mis en cause une volonté délibérée d'avoir voulu d'emblée s'affranchir de ses obligations.</w:t>
      </w:r>
    </w:p>
    <w:p>
      <w:r>
        <w:t>Faute d'astuce, c'est dès lors à bon droit que le Ministère public a considéré que les conditions de l'infraction d'escroquerie n'étaient pas réalisées. 3. Justifiée, l'ordonnance querellée sera donc confirmée.</w:t>
      </w:r>
    </w:p>
    <w:p>
      <w:r>
        <w:t>- 7/9 - P/24284/2022 4. Vu l'issue du recours, la Chambre pénale de recours pouvait décider d'emblée de le traiter sans échange d'écritures ni débats (art. 390 al. 2 et 5 a contrario CPP). 5. Le recourant, qui succombe, supportera les frais envers l'État, qui seront fixés en totalité à CHF 1'000.-. (art. 428 al. 1 CPP et 13 al. 1 du Règlement fixant le tarif des frais en matière pénale, RTFMP ; E 4 10.03). * * * * *</w:t>
      </w:r>
    </w:p>
    <w:p>
      <w:r>
        <w:t>- 8/9 - P/24284/2022</w:t>
      </w:r>
    </w:p>
    <w:p>
      <w:r>
        <w:rPr>
          <w:b/>
        </w:rPr>
        <w:t>E. 6</w:t>
      </w:r>
    </w:p>
    <w:p>
      <w:r>
        <w:t>décembre 2012). En d'autres termes, il doit être certain que l'état de fait ne remplit les conditions d'aucune infraction pénale, ce qui est, par exemple, le cas des contestations de nature purement civile (ATF 137 IV 285 consid. 2.3 p.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