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ACPR/97/2021 vom 7. Januar 2021</w:t>
      </w:r>
    </w:p>
    <w:p>
      <w:r>
        <w:t>GE Cour de justice, 2021-01-07, FR</w:t>
      </w:r>
    </w:p>
    <w:p>
      <w:r>
        <w:rPr>
          <w:b/>
        </w:rPr>
        <w:t xml:space="preserve">Quelle: </w:t>
      </w:r>
      <w:r>
        <w:t>https://mcp.opencaselaw.ch/entscheid/ge_gerichte_ACPR_97_2021</w:t>
      </w:r>
    </w:p>
    <w:p>
      <w:r>
        <w:t>FR: GE_GERICHTE ACPR/97/2021 du 7 janvier 2021</w:t>
      </w:r>
    </w:p>
    <w:p>
      <w:r>
        <w:t>IT: GE_GERICHTE ACPR/97/2021 del 7 gennaio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L'art. 132 al. 1 let. b CPP soumet le droit à l'assistance d'un défenseur d'office à la double condition que le prévenu soit indigent et que la sauvegarde de ses intérêts le justifie.</w:t>
      </w:r>
    </w:p>
    <w:p>
      <w:r>
        <w:t>- 4/6 - P/16719/2019 Le recours à un avocat d'office s'impose lorsque la cause n'est pas de peu de gravité; ainsi en va-t-il, notamment, quand le prévenu est passible d'une peine privative de liberté de plus de quatre mois ou d'une peine pécuniaire de plus de 120 jours-amende (art. 132 al. 2 et 3 CPP). En revanche, lorsque l'infraction n'est manifestement qu'une bagatelle, en ce sens que son auteur ne s'expose qu'à une amende ou à une peine privative de liberté de courte durée, le requérant ne peut prétendre à l'assistance judiciaire, y compris sous l'angle des art. 29 al. 3 Cst féd. et 6 ch. 3 let. c CEDH (ATF 143 I 164 consid. 3.5; arrêt du Tribunal fédéral 1B_93/2018 du 29 mai 2018 consid. 3.1). Le recours à un avocat s'impose également lorsque la cause présente, sur le plan des faits ou du droit, des difficultés que le prévenu, seul, ne pourrait pas surmonter (art. 132 al. 2 CPP). Pour évaluer si tel est le cas, il sied de se fonder tant sur des éléments objectifs, tenant principalement à la nature de la cause - en se demandant si une personne raisonnable et de bonne foi, qui présenterait les mêmes caractéristiques, mais disposerait de ressources suffisantes, ferait ou non appel à un avocat, ou encore si la subsomption des faits donne lieu à des doutes, etc. –, que sur des éléments subjectifs, fondés sur l'aptitude concrète du requérant à mener seul la procédure – en en tenant compte, notamment, de son âge, de sa formation, de sa plus ou moins grande familiarité avec la pratique judiciaire et de sa maîtrise de la langue de la procédure – (arrêt du Tribunal fédéral 1B_93/2018 précité).</w:t>
      </w:r>
    </w:p>
    <w:p>
      <w:r>
        <w:rPr>
          <w:b/>
        </w:rPr>
        <w:t>E. 3.2</w:t>
      </w:r>
    </w:p>
    <w:p>
      <w:r>
        <w:t>En l'espèce, le recourant semble toujours émarger à l'aide sociale de sorte que la première condition posée par l'art. 132 al. 1 let b CPP apparaît réalisée. Tel n'est en revanche, pas le cas de la seconde. En effet, la cause est de peu de gravité. Ainsi, le Ministère public a condamné le prévenu à une peine pécuniaire de 40 jours-amende, à CHF 30.- l'unité, avec sursis. Or, même si l'on tient compte d'un éventuel risque d'aggravation de cette sanction par le Tribunal de police, l'intéressé reste, au vu du type d'infraction concernée, concrètement passible d'une peine sensiblement inférieure au seuil fixé par l'art. 132 al. 3 CPP. Ensuite, le dossier ne présente, sous l'angle des faits, aucune difficulté. Les faits reprochés sont clairement circonscrits et compréhensibles. Du point de vue juridique, l'infraction concernée est facile à appréhender même pour un profane. L'existence de difficultés objectives doit donc être niée. Sur le plan subjectif, le prévenu a parfaitement saisi les enjeux de la procédure, ayant été à même, tout au long de l'instruction, de se défendre seul, respectivement de faire valoir ses droits de façon appropriée (capacité de s'exprimer clairement lors de son</w:t>
      </w:r>
    </w:p>
    <w:p>
      <w:r>
        <w:t>- 5/6 - P/16719/2019 audition à la police et de s'opposer tant à l'ordonnance pénale qu'au refus de lui désigner un défenseur d'office). Il s'ensuit que les conditions d'une défense d'office ne sont pas réalisées.</w:t>
      </w:r>
    </w:p>
    <w:p>
      <w:r>
        <w:rPr>
          <w:b/>
        </w:rPr>
        <w:t>E. 4</w:t>
      </w:r>
    </w:p>
    <w:p>
      <w:r>
        <w:t>Infondé, le recours sera donc rejeté et la décision attaquée, confirmée.</w:t>
      </w:r>
    </w:p>
    <w:p>
      <w:r>
        <w:rPr>
          <w:b/>
        </w:rPr>
        <w:t>E. 5</w:t>
      </w:r>
    </w:p>
    <w:p>
      <w:r>
        <w:t>La procédure est gratuite (art. 20 RAJ; arrêt du Tribunal fédéral 6B_215/2018 du 14 juin 2018 consid. 1.2). * * * * *</w:t>
      </w:r>
    </w:p>
    <w:p>
      <w:r>
        <w:t>- 6/6 - P/16719/2019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