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ACPR/96/2025 vom 10. Januar 2025</w:t>
      </w:r>
    </w:p>
    <w:p>
      <w:r>
        <w:t>GE Cour de justice, 2025-01-10, FR</w:t>
      </w:r>
    </w:p>
    <w:p>
      <w:r>
        <w:rPr>
          <w:b/>
        </w:rPr>
        <w:t xml:space="preserve">Quelle: </w:t>
      </w:r>
      <w:r>
        <w:t>https://mcp.opencaselaw.ch/entscheid/ge_gerichte_ACPR_96_2025</w:t>
      </w:r>
    </w:p>
    <w:p>
      <w:r>
        <w:t>FR: GE_GERICHTE ACPR/96/2025 du 10 janvier 2025</w:t>
      </w:r>
    </w:p>
    <w:p>
      <w:r>
        <w:t>IT: GE_GERICHTE ACPR/96/2025 del 10 gennaio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2ème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t>- 6/9 - PM/1382/2024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 7B_678/2023 du 27 octobre 2023 consid. 2.2.2 ; 7B_388/2023 du 29 septembre 2023 consid. 2.2 ;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3.2</w:t>
      </w:r>
    </w:p>
    <w:p>
      <w:r>
        <w:t>En l'espèce, la condition objective d'une libération conditionnelle est réalisée depuis le 7 janvier 2025. Tous les préavis sont défavorables à une libération conditionnelle du recourant, à savoir ceux des deux établissements dans lesquels il a été détenu successivement, du SAPEM et du Ministère public.</w:t>
      </w:r>
    </w:p>
    <w:p>
      <w:r>
        <w:t>- 7/9 - PM/1382/2024 Il ne peut être dit que le recourant s'est bien comporté en détention – quand bien même il a donné, respectivement donne, satisfaction dans les ateliers "cuisine" et "reliure" (à la prison de C______), de même qu'"évaluation 2" et "emballage" (à B______) –, puisqu'il cumule à ce jour cinq sanctions pour attitude incorrecte envers le personnel, trouble à l'ordre de l'établissement, possession, respectivement consommation de stupéfiants et violence physique sur un codétenu. C'est en vain qu'il cherche à remettre en cause ces sanctions et à faire triompher sa version des faits. La consommation de stupéfiants en particulier s'avère fort problématique, dans la mesure où il ressort du PES qu'elle est – à tout le moins partiellement – la cause de délits contre le patrimoine. Il cumule, du 28 juillet 2023 au 16 juillet 2024 pas moins de cinq condamnations, essentiellement pour des infractions à la LEI, mais également pour vol et tentative de vol. Il n'a pas su tirer profit du sursis rattaché à ses deux premières condamnations, puis d'une libération conditionnelle obtenue en France, ni n'a appris de courtes peines privatives de liberté infligées. Il fait totalement fi des décisions rendues par les autorités administratives et persiste à entrer, voire demeurer en Suisse et à Genève, nonobstant une interdiction de pénétrer dans le canton de Genève [qui a pris fin le 28 juillet 2024] et une décision de renvoi de Suisse ainsi que de l'espace Schengen du 15 mars 2024, définitive et exécutoire. Ses projets à sa sortie de prison sont des plus vagues et nullement étayés. Celui d'aller vivre en Espagne, où il aurait vécu jusqu'en 2023, auprès de sa compagne et de leur fille, n'est pas sérieusement concevable, vu l'absence de statut administratif du recourant en Espagne et la décision de renvoi précitée. Le recourant se retrouvera ainsi à sa sortie de prison sans domicile fixe, sans revenu avéré, ni proche à même de le soutenir et, en tout état, en situation illégale en Suisse. Il ressort de ces éléments que le recourant n'est pas à même de proposer un projet de vie suffisant à renverser le pronostic qui doit être qualifié de clairement défavorable, vu le risque concret de réitération. Dans cette configuration, le fait que le recourant dise vouloir désormais prendre soin en particulier de sa fille en bas âge et trouver du travail n'est pas suffisant. Les conditions d'une libération conditionnelle ne sont ainsi pas réalisées.</w:t>
      </w:r>
    </w:p>
    <w:p>
      <w:r>
        <w:rPr>
          <w:b/>
        </w:rPr>
        <w:t>E. 4</w:t>
      </w:r>
    </w:p>
    <w:p>
      <w:r>
        <w:t>Justifié, le jugement querellé sera donc confirmé et le recours rejeté.</w:t>
      </w:r>
    </w:p>
    <w:p>
      <w:r>
        <w:rPr>
          <w:b/>
        </w:rPr>
        <w:t>E. 5</w:t>
      </w:r>
    </w:p>
    <w:p>
      <w:r>
        <w:t>Le recourant, qui succombe, supportera les frais envers l'État, fixés en totalité à CHF 600.- (art. 428 al. 1 CPP et 13 al. 1 du Règlement fixant le tarif des frais en matière pénale, RTFMP ; E 4 10.03). * * * * *</w:t>
      </w:r>
    </w:p>
    <w:p>
      <w:r>
        <w:t>- 8/9 - PM/1382/2024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