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ACPR/96/2022 vom 7. Juni 2021</w:t>
      </w:r>
    </w:p>
    <w:p>
      <w:r>
        <w:t>GE Cour de justice, 2021-06-07, FR</w:t>
      </w:r>
    </w:p>
    <w:p>
      <w:r>
        <w:rPr>
          <w:b/>
        </w:rPr>
        <w:t xml:space="preserve">Quelle: </w:t>
      </w:r>
      <w:r>
        <w:t>https://mcp.opencaselaw.ch/entscheid/ge_gerichte_ACPR_96_2022</w:t>
      </w:r>
    </w:p>
    <w:p>
      <w:r>
        <w:t>FR: GE_GERICHTE ACPR/96/2022 du 7 juin 2021</w:t>
      </w:r>
    </w:p>
    <w:p>
      <w:r>
        <w:t>IT: GE_GERICHTE ACPR/96/2022 del 7 giugno 2021</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respectées (art.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sollicite la suspension de la procédure de recours dans l'attente de droit jugé dans la procédure d'opposition à l'ordonnance pénale prononcée à son encontre.</w:t>
      </w:r>
    </w:p>
    <w:p>
      <w:r>
        <w:rPr>
          <w:b/>
        </w:rPr>
        <w:t>E. 2.1</w:t>
      </w:r>
    </w:p>
    <w:p>
      <w:r>
        <w:t>L'art. 314 al. 1 let. b CPP prévoit la possibilité pour le ministère public de suspendre une instruction, notamment, lorsque l'issue de la procédure pénale dépend d'un autre procès dont il paraît indiqué d'attendre la fin.</w:t>
      </w:r>
    </w:p>
    <w:p>
      <w:r>
        <w:t>- 5/9 - P/21131/2019 Dans une cause où la Chambre de céans avait sursis à statuer dans l'attente de l'issue d'un recours pendant devant le Tribunal fédéral dans une autre procédure portant sur le même grief, notre Haute Cour a précisé que la suspension d'une procédure de recours n'est pas exclue mais comporte le risque de retarder inutilement la procédure de sorte qu'elle ne doit être admise qu'avec retenue – c'est-à-dire lorsqu'elle se fonde sur des motifs objectifs – eu égard à l'exigence de célérité posée par l'art. 29 al. 1 Cst. Peut notamment constituer un tel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(arrêt du Tribunal fédéral 1B_329/2017 du 11 septembre 2017 consid. 3).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2.2</w:t>
      </w:r>
    </w:p>
    <w:p>
      <w:r>
        <w:t>En l'espèce, l'ordonnance pénale condamnant le recourant pour les faits dénoncés par B______, a fait l'objet d'une opposition auprès du Ministère public. Ce dernier n'a pas encore rendu de décision à ce sujet. À supposer qu'il maintienne son ordonnance pénale, la cause serait transmise au Tribunal de première instance et de longs mois pourraient s'écouler avant qu'une décision ne soit en force et que la Chambre de céans puisse statuer. Si le Ministère public ou le Tribunal de première instance devaient finalement acquitter le recourant, ce dernier pourrait demander la reprise de la procédure, s'agissant de sa plainte pour dénonciation calomnieuse, pour faits nouveaux (art. 323 CPP) , s'il considère les éléments constitutifs de l'infraction réalisés. Dans ces conditions, la suspension de la procédure au stade du recours n'est pas opportune. Ce grief sera donc rejeté.</w:t>
      </w:r>
    </w:p>
    <w:p>
      <w:r>
        <w:rPr>
          <w:b/>
        </w:rPr>
        <w:t>E. 3</w:t>
      </w:r>
    </w:p>
    <w:p>
      <w:r>
        <w:t>Le recourant allègue qu'une ordonnance de non-entrée en matière ne pouvait pas être rendue par le Ministère public.</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w:t>
      </w:r>
    </w:p>
    <w:p>
      <w:r>
        <w:t>- 6/9 - P/21131/2019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w:t>
      </w:r>
    </w:p>
    <w:p>
      <w:r>
        <w:rPr>
          <w:b/>
        </w:rPr>
        <w:t>E. 3.2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 La preuve de l'intention de l'auteur doit être soumise à des exigences élevées (M. NIGGLI / H. WIPRÄCHTIGER, Basler Kommentar Strafrecht II : Art. 111-392 StGB, 3ème éd., Bâle 2013, n. 25 ad art. 303 CP). L'infraction ne peut pas être justifiée par le but de détourner sur un autre les soupçons qui pèsent sur soi (ATF 132 IV 20 consid. 4.4 p. 26).</w:t>
      </w:r>
    </w:p>
    <w:p>
      <w:r>
        <w:t>- 7/9 - P/21131/2019</w:t>
      </w:r>
    </w:p>
    <w:p>
      <w:r>
        <w:rPr>
          <w:b/>
        </w:rPr>
        <w:t>E. 3.3</w:t>
      </w:r>
    </w:p>
    <w:p>
      <w:r>
        <w:t>En l'espèce, comme relevé à juste titre par le Ministère public, le recourant a admis avoir perçu des loyers directement sur son compte personnel entre les mois de janvier 2018 et octobre 2019, de sorte que l'on peut difficilement reprocher à B______ une dénonciation calomnieuse alors que les faits dénoncés sont reconnus par le recourant lui-même et que le Ministère public a estimé, après instruction, que ce comportement était constitutif d'infractions pénales. Dans la mesure où le Ministère public a retenu la culpabilité du recourant s'agissant des faits décrits dans la plainte de B______, il se justifiait de rendre une ordonnance de non-entrée sur la contre-plainte déposée par le premier, dès lors que le mis en cause ne s'était pas rendu coupable de dénonciation calomnieuse. Il résulte des faits figurant au dossier que les éléments constitutifs de l'infraction de dénonciation calomnieuse ne sont pas remplis (art. 310 al. 1 let. a CPP) et que le Ministère public était fondé à prononcer une ordonnance de non-entrée en matière.</w:t>
      </w:r>
    </w:p>
    <w:p>
      <w:r>
        <w:rPr>
          <w:b/>
        </w:rPr>
        <w:t>E. 4</w:t>
      </w:r>
    </w:p>
    <w:p>
      <w:r>
        <w:t>Justifiée en l'état, l'ordonnance querellée sera confirmée.</w:t>
      </w:r>
    </w:p>
    <w:p>
      <w:r>
        <w:rPr>
          <w:b/>
        </w:rPr>
        <w:t>E. 5</w:t>
      </w:r>
    </w:p>
    <w:p>
      <w:r>
        <w:t>Le recourant, qui succombe, supportera les frais envers l'État, arrêtés à CHF 900.- (art. 428 al. 1 CPP et 13 al. 1 du Règlement fixant le tarif des frais en matière pénale, RTFMP ; E 4 10.03). * * * * *</w:t>
      </w:r>
    </w:p>
    <w:p>
      <w:r>
        <w:t>- 8/9 - P/21131/2019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