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ACPR/967/2024 vom 5. Dezember 2024</w:t>
      </w:r>
    </w:p>
    <w:p>
      <w:r>
        <w:t>GE Cour de justice, 2024-12-05, FR</w:t>
      </w:r>
    </w:p>
    <w:p>
      <w:r>
        <w:rPr>
          <w:b/>
        </w:rPr>
        <w:t xml:space="preserve">Quelle: </w:t>
      </w:r>
      <w:r>
        <w:t>https://mcp.opencaselaw.ch/entscheid/ge_gerichte_ACPR_967_2024</w:t>
      </w:r>
    </w:p>
    <w:p>
      <w:r>
        <w:t>FR: GE_GERICHTE ACPR/967/2024 du 5 décembre 2024</w:t>
      </w:r>
    </w:p>
    <w:p>
      <w:r>
        <w:t>IT: GE_GERICHTE ACPR/967/2024 del 5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w:t>
      </w:r>
    </w:p>
    <w:p>
      <w:r>
        <w:t>- 5/9 - P/18405/2024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Il n'y a donc pas à s'y attarder, mais à renvoyer, en tant que de besoin, à la motivation adoptée par le premier juge (art. 82 al. 4 CPP; ACPR/747/2020 du 22 octobre 2020 consid. 2 et les références), étant précisé que dans son précédent arrêt – confirmé par le Tribunal fédéral – la Chambre de céans avait déjà retenu l'existence de charges suffisantes, qui se sont alourdies depuis.</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recourant, pour lequel un risque de collusion avait déjà été retenu en début d'instruction, vient d'être prévenu, à titre complémentaire, de vente de stupéfiants à douze personnes, sur la base de ses conversations téléphoniques avec ces dernières. L'instruction doit désormais porter sur la confrontation du recourant au contenu de ces conversations et, après identification des interlocuteurs, sur l'audition de ces derniers. Le risque est dès lors très important que, s'il était libéré, le recourant n'entre en contact avec ces personnes pour leur livrer sa version des faits et, par-là, les influencer. Qu'il ne dispose plus de ses téléphones – saisis – ne l'empêcherait pas d'entrer en contact avec elles par un autre moyen. Il allègue en effet que ses interlocuteurs seraient des "amis" avec lesquels il faisait "la fête", de sorte que, à suivre ses explications, il pourrait les revoir en se rendant dans ces lieux de fête, ou les contacter par personnes interposées.</w:t>
      </w:r>
    </w:p>
    <w:p>
      <w:r>
        <w:t>- 6/9 - P/18405/2024 Que le recourant déclare ne pas connaître H______ et G______ ne joue aucun rôle ici, car le risque de collusion porte désormais (aussi) sur les douze acheteurs de stupéfiants nouvellement mis à jour par l'instruction. L'explication du recourant sur l'origine des valeurs trouvées en sa possession – qu'il avait déjà livrée en début de procédure – n'est pas à même de réduire les risques retenus, ni, si tel était le propos, de réduire les charges. C'est donc à bon droit que le TMC a retenu un risque de collusion trop important, à ce stade de l'instruction, pour être pallié par une interdiction de contact, laquelle ne reposerait que sur la volonté du recourant. Or, l'enjeu est tel, pour le prévenu, qu'on ne saurait se contenter d'une simple promesse.</w:t>
      </w:r>
    </w:p>
    <w:p>
      <w:r>
        <w:rPr>
          <w:b/>
        </w:rPr>
        <w:t>E. 4</w:t>
      </w:r>
    </w:p>
    <w:p>
      <w:r>
        <w:t>Le risque de collusion étant réalisé, l'autorité de recours peut se dispenser d'examiner si un autre risque – alternatif – l'est également (arrêt du Tribunal fédéral 7B_188/2024 du 12 mars 2024 consid. 6.3.1).</w:t>
      </w:r>
    </w:p>
    <w:p>
      <w:r>
        <w:rPr>
          <w:b/>
        </w:rPr>
        <w:t>E. 5</w:t>
      </w:r>
    </w:p>
    <w:p>
      <w:r>
        <w:t>Le recourant invoque une violation du principe de la proportionnalité, mais, compte tenu de la gravité des charges retenues, la détention provisoire ordonnée respecte ce principe (art. 197 al. 1 et 212 al. 3 CPP).</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w:t>
      </w:r>
    </w:p>
    <w:p>
      <w:r>
        <w:t>- 7/9 - P/18405/2024 * * * * *</w:t>
      </w:r>
    </w:p>
    <w:p>
      <w:r>
        <w:t>- 8/9 - P/18405/2024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