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ACPR/965/2024 vom 25. November 2024</w:t>
      </w:r>
    </w:p>
    <w:p>
      <w:r>
        <w:t>GE Cour de justice, 2024-11-25, FR</w:t>
      </w:r>
    </w:p>
    <w:p>
      <w:r>
        <w:rPr>
          <w:b/>
        </w:rPr>
        <w:t xml:space="preserve">Quelle: </w:t>
      </w:r>
      <w:r>
        <w:t>https://mcp.opencaselaw.ch/entscheid/ge_gerichte_ACPR_965_2024</w:t>
      </w:r>
    </w:p>
    <w:p>
      <w:r>
        <w:t>FR: GE_GERICHTE ACPR/965/2024 du 25 novembre 2024</w:t>
      </w:r>
    </w:p>
    <w:p>
      <w:r>
        <w:t>IT: GE_GERICHTE ACPR/965/2024 del 25 novembre 2024</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1.2</w:t>
      </w:r>
    </w:p>
    <w:p>
      <w:r>
        <w:t>Bien que le TMC ait ordonné, subséquemment, la prolongation de la détention provisoire du recourant, le recours contre le refus de la mise en liberté conserve son objet (arrêt du Tribunal fédéral 1B_380/2022 du 28 juillet 2022 consid. 2 par analogie).</w:t>
      </w:r>
    </w:p>
    <w:p>
      <w:r>
        <w:rPr>
          <w:b/>
        </w:rPr>
        <w:t>E. 2</w:t>
      </w:r>
    </w:p>
    <w:p>
      <w:r>
        <w:t>Le recourant remet en question l'existence de charges suffisantes.</w:t>
      </w:r>
    </w:p>
    <w:p>
      <w:r>
        <w:rPr>
          <w:b/>
        </w:rPr>
        <w:t>E. 2.1</w:t>
      </w:r>
    </w:p>
    <w:p>
      <w:r>
        <w:t>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l'occurrence, la Chambre de céans a déjà retenu, dans son précédent arrêt, que le fait que la grande majorité des actes reprochés au recourant ait été commise avant sa précédente libération, en décembre 2023, ne jouait aucun rôle, les charges étant désormais plus lourdes. Le prévenu contestait avoir adressé les deux courriels du 7 septembre 2024, l'un au Pouvoir judiciaire, l'autre au conseil de F______. Toutefois, le fait que l'adresse e-mail ne portât pas le nom du recourant ne suffisait pas à le mettre hors de cause, puisqu'il pourrait avoir utilisé l'adresse e-mail d'un tiers, ou avoir mandaté une personne pour rédiger et envoyer ces messages, adoptant ainsi un rôle d'instigateur (art. 24 CP) ou de co-auteur. Les dénégations du recourant ne suffisaient pas à supprimer les forts soupçons qui pesaient sur lui s'agissant des infractions commises après la date de sa précédente libération. Cette conclusion peut être reprise ici, l'instruction n'ayant dans l'intervalle pas disculpé le recourant. Les charges demeurent donc suffisantes et graves.</w:t>
      </w:r>
    </w:p>
    <w:p>
      <w:r>
        <w:t>- 7/11 - P/6236/2022</w:t>
      </w:r>
    </w:p>
    <w:p>
      <w:r>
        <w:rPr>
          <w:b/>
        </w:rPr>
        <w:t>E. 3</w:t>
      </w:r>
    </w:p>
    <w:p>
      <w:r>
        <w:t>Le recourant conteste tout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Le risque de fuite a déjà été retenu par la Chambre de céans dans son précédent arrêt, de sorte qu'il peut être renvoyé à la motivation retenue. Depuis lors, ce risque ne s'est pas atténué, le recourant persistant à dire qu'il se sentirait mieux à l'étranger, soit en particulier au Maroc et en Arabie Saoudite. Il a même ajouté qu'il était "poussé" à un point tel qu'il se sentait obligé de quitter son propre pays, la Suisse, "pour vivre", et souhaitait qu'on le laisse tranquille. C'est donc à bon droit que l'autorité précédente a retenu un risque de fuite.</w:t>
      </w:r>
    </w:p>
    <w:p>
      <w:r>
        <w:rPr>
          <w:b/>
        </w:rPr>
        <w:t>E. 4</w:t>
      </w:r>
    </w:p>
    <w:p>
      <w:r>
        <w:t>L'ordonnance querellée ne mentionne pas le risque de récidive, qui a été retenu par la Chambre de céans, sur la base de l'art. 221 al. 1 let. c CPP, dans son précédent arrêt, qui peut être confirmé ici sur ce point. En effet, les menaces de mort constituent un délit grave, en tant qu'elles portent atteinte à la paix intérieure et au sentiment de sécurité des personnes auxquelles elles sont adressées (arrêt du Tribunal fédéral 1B_301/2017 du 3 octobre 2017 consid. 3.1; M. DUPUIS / L. MOREILLON / C. PIGUET / S. BERGER / M. MAZOU / V. RODIGARI (éds), Code pénal - Petit commentaire, 2ème éd., Bâle 2017, n. 2 ad art. 180 CP et les références citées). Le recourant étant fortement soupçonné d'avoir envoyé deux courriels alors qu'il était déjà sous le coup de mesures de substitution lui faisant interdiction de contacter la plaignante, il est à craindre, s'il devait être libéré, qu'il ne réitère ses menaces. Voire les mette à exécution, puisqu'il tient la plaignante pour responsable de ses déboires avec les autorités pénales et que l'on ne sait en l'état pas [tant que les conclusions de l'expertise psychiatrique n'auront pas été rendues] comment l'empêcher d'agir.</w:t>
      </w:r>
    </w:p>
    <w:p>
      <w:r>
        <w:rPr>
          <w:b/>
        </w:rPr>
        <w:t>E. 5</w:t>
      </w:r>
    </w:p>
    <w:p>
      <w:r>
        <w:t>Le recourant propose des mesures de substitution pour pallier les risques retenus.</w:t>
      </w:r>
    </w:p>
    <w:p>
      <w:r>
        <w:rPr>
          <w:b/>
        </w:rPr>
        <w:t>E. 5.1</w:t>
      </w:r>
    </w:p>
    <w:p>
      <w:r>
        <w:t>Conformément au principe de la proportionnalité (art. 36 al. 3 Cst., concrétisé par l'art. 237 al. 1 CPP), le tribunal compétent ordonne une ou plusieurs mesures</w:t>
      </w:r>
    </w:p>
    <w:p>
      <w:r>
        <w:t>- 8/11 - P/6236/2022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l'obligation de se présenter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w:t>
      </w:r>
    </w:p>
    <w:p>
      <w:r>
        <w:rPr>
          <w:b/>
        </w:rPr>
        <w:t>E. 5.2</w:t>
      </w:r>
    </w:p>
    <w:p>
      <w:r>
        <w:t>En l'occurrence, il a déjà été retenu que le port d'un bracelet électronique, ainsi que l'interdiction de sortir du territoire, même couplée à un dépôt des pièces d'identité et l'obligation de vivre chez sa mère, ne pourraient pas empêcher le recourant de quitter la Suisse par la route, pour se rendre, par exemple, au Maroc. Au vu de l'enjeu que représente pour lui la présente procédure, le risque est grand qu'il préfère se réfugier dans un pays où il se sentirait plus "en sécurité". Le versement d'une caution par un tiers, quel que soit le montant, ne suffirait donc pas, dans ce contexte, à garantir sa présentation aux actes de la procédure. L'obligation de voire un psychiatre ne serait pas suffisante, en l'état, à pallier le risque de réitération, dans la mesure où l'on ne connaît pas la nature des troubles psychiques dont souffrirait le recourant. En particulier, si les charges devaient se confirmer à cet égard, on ignore ce qui l'aurait motivé à s'en prendre à réitérées reprises à F______ et à la famille de celle-ci, ni ce qu'il faut faire pour empêcher qu'il recommence à menacer, voire à mettre ses menaces à exécution. Aucune mesure de substitution n'est donc apte, en l'état, à pallier les risques retenus.</w:t>
      </w:r>
    </w:p>
    <w:p>
      <w:r>
        <w:rPr>
          <w:b/>
        </w:rPr>
        <w:t>E. 6</w:t>
      </w:r>
    </w:p>
    <w:p>
      <w:r>
        <w:t>Compte tenu de la gravité des infractions retenues, en particulier les menaces, le refus de mise en liberté ne viole pas le principe de la proportionnalité (art. 197 al. 1 et 212 al. 3 CPP). Le recourant, qui invoque la pénibilité de son incarcération, ne démontre pas qu'il serait incapable de subir la détention provisoire pour des motifs très sérieux de santé, ni qu'un traitement administré en milieu carcéral – lequel a déjà été mis en place au vu du suivi dont le recourant fait état – ne serait pas de nature à en atténuer les effets.</w:t>
      </w:r>
    </w:p>
    <w:p>
      <w:r>
        <w:rPr>
          <w:b/>
        </w:rPr>
        <w:t>E. 7</w:t>
      </w:r>
    </w:p>
    <w:p>
      <w:r>
        <w:t>Le recours s'avère ainsi infondé et doit être rejeté.</w:t>
      </w:r>
    </w:p>
    <w:p>
      <w:r>
        <w:rPr>
          <w:b/>
        </w:rPr>
        <w:t>E. 8</w:t>
      </w:r>
    </w:p>
    <w:p>
      <w:r>
        <w:t>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le recours ne procédait pas d'un abus. L'indemnité du défenseur d'office sera fixée à la fin de la procédure (art. 135 al. 2 CPP). * * * * *</w:t>
      </w:r>
    </w:p>
    <w:p>
      <w:r>
        <w:t>- 10/11 - P/6236/2022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