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ACPR/95/2025 vom 18. November 2024</w:t>
      </w:r>
    </w:p>
    <w:p>
      <w:r>
        <w:t>GE Cour de justice, 2024-11-18, FR</w:t>
      </w:r>
    </w:p>
    <w:p>
      <w:r>
        <w:rPr>
          <w:b/>
        </w:rPr>
        <w:t xml:space="preserve">Quelle: </w:t>
      </w:r>
      <w:r>
        <w:t>https://mcp.opencaselaw.ch/entscheid/ge_gerichte_ACPR_95_2025</w:t>
      </w:r>
    </w:p>
    <w:p>
      <w:r>
        <w:t>FR: GE_GERICHTE ACPR/95/2025 du 18 novembre 2024</w:t>
      </w:r>
    </w:p>
    <w:p>
      <w:r>
        <w:t>IT: GE_GERICHTE ACPR/95/2025 del 18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- 4/7 - P/6988/2024</w:t>
      </w:r>
    </w:p>
    <w:p>
      <w:r>
        <w:rPr>
          <w:b/>
        </w:rPr>
        <w:t>E. 3</w:t>
      </w:r>
    </w:p>
    <w:p>
      <w:r>
        <w:t>Les recourants se plaignent d'une constatation inexacte des faits. Dès lors que la Chambre de céans jouit d'un plein pouvoir de cognition en droit et en fait (art. 393 al. 2 CPP; ATF 137 I 195 consid. 2.3.2 ; arrêt du Tribunal fédéral 1B_524/2012 du 15 novembre 2012 consid. 2.1.), les éventuelles constatations incomplètes ou inexactes du Ministère public auront été corrigées dans l'état de fait établi ci-devant.</w:t>
      </w:r>
    </w:p>
    <w:p>
      <w:r>
        <w:rPr>
          <w:b/>
        </w:rPr>
        <w:t>E. 4</w:t>
      </w:r>
    </w:p>
    <w:p>
      <w:r>
        <w:t>Les recourants reprochent au Ministère public de ne pas être entré en matière sur leur plainte s'agissant d'une violation de l'art. 292 CP en lien avec la servitude de passage.</w:t>
      </w:r>
    </w:p>
    <w:p>
      <w:r>
        <w:rPr>
          <w:b/>
        </w:rPr>
        <w:t>E. 4.1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A. KUHN / C. PERRIER DEPEURSINGE (éds), op. cit.,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 Une non-entrée en matière s'impose lorsque le litige est de nature purement civile (ATF 137 IV 285 consid. 2.3).</w:t>
      </w:r>
    </w:p>
    <w:p>
      <w:r>
        <w:t>- 5/7 - P/6988/2024</w:t>
      </w:r>
    </w:p>
    <w:p>
      <w:r>
        <w:rPr>
          <w:b/>
        </w:rPr>
        <w:t>E. 4.2</w:t>
      </w:r>
    </w:p>
    <w:p>
      <w:r>
        <w:t>Aux termes de l'art. 292 CP, quiconque ne se conforme pas à une décision à lui signifiée, sous la menace de la peine prévue au présent article, par une autorité ou un fonctionnaire compétents est puni d'une amende. L'insoumission à une décision de l'autorité n'est punissable que si la commination a été signifiée sous la menace de la peine prévue par l'article 292 CP. Une simple référence à cette disposition ou la mention de sanctions pénales ne suffit pas ; il faut indiquer précisément la menace de l'amende (ATF 124 IV 297 consid. 4e ; 105 IV 248 consid. 1 ; arrêt du Tribunal fédéral 6B_388/2018 du 13 septembre 2018 consid. 2).</w:t>
      </w:r>
    </w:p>
    <w:p>
      <w:r>
        <w:rPr>
          <w:b/>
        </w:rPr>
        <w:t>E. 4.3</w:t>
      </w:r>
    </w:p>
    <w:p>
      <w:r>
        <w:t>En l'espèce, les recourants se prévalent d'un état des lieux effectué par un géomètre postérieurement aux décisions rendues en matière civile. Le Tribunal fédéral avait retenu que le contenu de la servitude litigieuse n'était plus contesté et qu'elle pouvait être empruntée à pied, mais aussi avec un véhicule usuel et n'avait pas pour but de permettre l'accès à des engins lourds ou de chantier. Aucune autre construction de nature à bloquer le passage ne devait cependant être érigée. Rien n'indique, et les recourants ne le soutiennent pas, que depuis la fin de la procédure civile, de nouveaux éléments auraient été construits ou déposés sur la servitude, entravant le passage. En effet, les recourants reprochent l'existence, sur le terrain grevé, d'un muret en béton et d'un poteau soutenant un avant-toit, constructions déjà existantes lorsque le Tribunal civil avait rendu son jugement. Ainsi, la situation qui prévalait au moment où cette juridiction a rendu son jugement, confirmé jusqu'à notre plus haute instance, semble être identique à la situation actuelle. En n'érigeant pas de nouvelle construction sur la parcelle litigieuse et en laissant les lieux tels qu'ils étaient, la mise en cause s'est ainsi conformée au jugement JTPI/13076/2020 du 26 octobre 2020 et il ne peut lui être reproché de ne pas s'être soumise à la décision d'une autorité. C'est ainsi à juste titre que le Ministère public a refusé d'entrer en matière, faute de prévention pénale suffisante, dès lors qu'aucune modification n'est intervenue sur le terrain grevé depuis le rendu de sa décision et qu'il y avait été retenu que cette servitude pouvait alors être utilisée conformément à son but (soit avec le passage à pied ou avec un véhicule).</w:t>
      </w:r>
    </w:p>
    <w:p>
      <w:r>
        <w:rPr>
          <w:b/>
        </w:rPr>
        <w:t>E. 5</w:t>
      </w:r>
    </w:p>
    <w:p>
      <w:r>
        <w:t>Justifiée, l'ordonnance querellée sera donc confirmée.</w:t>
      </w:r>
    </w:p>
    <w:p>
      <w:r>
        <w:rPr>
          <w:b/>
        </w:rPr>
        <w:t>E. 6</w:t>
      </w:r>
    </w:p>
    <w:p>
      <w:r>
        <w:t>Les recourants, qui succombent, supporteront solidairement les frais envers l'État (art. 418 al. 2 CPP), qui seront fixés en totalité à CHF 1'000.- (art. 428 al. 1 CPP et 13 al. 1 du Règlement fixant le tarif des frais en matière pénale, RTFMP ; E 4 10.03). * * * * *</w:t>
      </w:r>
    </w:p>
    <w:p>
      <w:r>
        <w:t>- 6/7 - P/6988/2024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