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ACPR/955/2025 vom 19. August 2025</w:t>
      </w:r>
    </w:p>
    <w:p>
      <w:r>
        <w:t>GE Cour de justice, 2025-08-19, FR</w:t>
      </w:r>
    </w:p>
    <w:p>
      <w:r>
        <w:rPr>
          <w:b/>
        </w:rPr>
        <w:t xml:space="preserve">Quelle: </w:t>
      </w:r>
      <w:r>
        <w:t>https://mcp.opencaselaw.ch/entscheid/ge_gerichte_ACPR_955_2025</w:t>
      </w:r>
    </w:p>
    <w:p>
      <w:r>
        <w:t>FR: GE_GERICHTE ACPR/955/2025 du 19 août 2025</w:t>
      </w:r>
    </w:p>
    <w:p>
      <w:r>
        <w:t>IT: GE_GERICHTE ACPR/955/2025 del 19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recourants font grief au Ministère public de ne pas être entré en matière sur les faits visés dans leur plainte.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arrêts du Tribunal fédéral</w:t>
      </w:r>
    </w:p>
    <w:p>
      <w:r>
        <w:t>- 5/9 - P/15246/2025 6B_212/2020 du 21 avril 2021 consid. 2.2; 6B_196/2020 du 14 octobre 2020 consid. 3.1). Dans le doute, lorsque les conditions d'une non-entrée en matière ne sont pas réalisées avec une certitude absolue, l'instruction doit être ouverte (ATF 143 IV 241 consid. 2.2.1; 138 IV 86 consid. 4.1; arrêts du Tribunal fédéral 6B_488/2021, 6B_496/2021 du 22 décembre 2021 consid. 5.3). 3.2.1. L'art. 173 ch. 1 CP réprime, sur plainte, le comportement de quiconque, en s'adressant à un tiers, accuse une personne ou jette sur elle le soupçon de tenir une conduite contraire à l'honneur, ou de tout autre fait propre à porter atteinte à sa considération, ou propage une telle accusation ou un tel soupçon. Le prévenu n'encourra aucune peine s'il prouve que les allégations qu'il a articulées ou propagées sont conformes à la vérité ou qu'il avait des raisons sérieuses de les tenir de bonne foi pour vraies (art. 173 ch. 2 CP); il ne sera cependant pas admis à faire ces preuves s’il s’est exprimé sans égard à l’intérêt public ou sans motif suffisant et a agi principalement pour dire du mal d’autrui (art. 173 ch. 3 CP). La calomnie, au sens de l’art. 174 CP, également réprimée sur plainte,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6B_1215/2020 du 22 avril 2021 consid. 3.1).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ATF 128 IV 53 consid. 1a). Il faut donc que l'atteinte fasse apparaître la personne visée comme méprisable, qu'il s'agisse d'un être humain ou d'une entité juridique (ATF 114 IV 14 consid. 2a). Les délits contre l'honneur sont des délits de mise en danger abstrait. Ils sont consommés dès qu'un tiers prend connaissance de la déclaration portant atteinte à l'honneur (ATF 103 IV 22 consid. 7; arrêts du Tribunal fédéral 6B_491/2013 du</w:t>
      </w:r>
    </w:p>
    <w:p>
      <w:r>
        <w:rPr>
          <w:b/>
        </w:rPr>
        <w:t>E. 3.3</w:t>
      </w:r>
    </w:p>
    <w:p>
      <w:r>
        <w:t>En l’espèce, les recourants reprochent au Ministère public de ne pas avoir poursuivi la mise en cause en raison des propos attentatoires à leur honneur que cette dernière avait énoncés dans ses écritures au Tribunal fédéral et à la Chambre de surveillance de la Cour de justice, respectivement des 26 février et 10 juin 2025. La question de savoir si ces propos [supra, let. B.b.a] sont de nature à jeter sur eux le soupçon d'une conduite contraire à l'honneur peut rester ouverte. En effet, tel que l’a considéré le Ministère public, ceux-ci s’inscrivent dans le litige opposant les parties et ont été formulés dans des écritures destinées à un cercle restreint de magistrats, soumis au secret de fonction (art. 320 CP). À cet égard, contrairement à ce que les recourants avancent, il n’apparaît pas que le Ministère public a dénié, en soi, la qualité de tiers à ces magistrats. Il a, dans les circonstances visées, à savoir le contexte litigieux dans lesquels ces propos ont été articulés et le cercle restreint de professionnels qualifiés qui en a été le récepteur, considéré qu’une atteinte à l’honneur devait être exclue. Ces considérations doivent être suivies, étant relevé qu’une atteinte à l’honneur dans un tel contexte doit être admise avec retenue. Au demeurant, au vu de la nature confuse</w:t>
      </w:r>
    </w:p>
    <w:p>
      <w:r>
        <w:t>- 7/9 - P/15246/2025 des écrits dans lesquels les propos litigieux ont été disséminés ‒ des griefs y étant avancés pêle-mêle à l’encontre des recourants mais également de différentes autorités et avocats ‒ il apparaît douteux que ceux-ci soient propres à ternir la réputation des recourants au point de les exposer au mépris, a fortiori auprès de magistrats, à même de faire la part des choses dans ce type de litige. Il en irait de même en tant que les écrits auraient été portés à la connaissance des avocats des recourants. Partant, c’est à bon droit que le Ministère public a considéré qu’il n’existait pas de prévention pénale suffisante pour ces faits. Dans leur recours, les plaignants allèguent, pour la première fois, que la mise en cause aurait également porté atteinte à leur honneur dans des écrits adressés à d’autres tiers. Cela étant, le Ministère public ne s’étant pas prononcé sur ces éléments, ils ne sauraient faire l’objet de la présente décision. En tout état de cause, les exigences liées au respect du délai de plainte empêcheraient a priori de les examiner. 4. Justifiée, l'ordonnance querellée sera donc confirmée. 5. Les recourants, qui succombent, supporteront les frais envers l'État, arrêtés à CHF 1’000.- (art. 428 al. 1 CPP et 13 al. 1 du Règlement fixant le tarif des frais en matière pénale, RTFMP; E 4 10.03). 6. Corrélativement, aucuns dépens ne leur seront octroyés. * * * * *</w:t>
      </w:r>
    </w:p>
    <w:p>
      <w:r>
        <w:t>- 8/9 - P/15246/2025</w:t>
      </w:r>
    </w:p>
    <w:p>
      <w:r>
        <w:rPr>
          <w:b/>
        </w:rPr>
        <w:t>E. 4</w:t>
      </w:r>
    </w:p>
    <w:p>
      <w:r>
        <w:t>février 2014 consid. 5.2.1 et 6B_106/2012 du 26 septembre 2012 consid. 4). Est en principe un tiers au sens des art. 173 et 174 CP toute personne autre que l'auteur et l'objet des propos qui portent atteinte à l'honneur, par exemple l'avocat de l'auteur, les magistrats (ATF 145 IV 462 consid. 4.3.3; ATF 86 IV 209; arrêt du Tribunal fédéral 6B_491/2013 du 4 février 2014 consid. 5.2.1). 3.2.2.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w:t>
      </w:r>
    </w:p>
    <w:p>
      <w:r>
        <w:t>- 6/9 - P/15246/2025 fonction des expressions utilisées, prises séparément, mais aussi selon le sens général qui se dégage du texte dans son ensemble (ATF 137 IV 313 consid. 2.1.3; ATF 128 IV 53 consid. 1a). Aussi, il est constant qu'en matière d'infractions contre l'honneur, les mêmes termes n'ont pas nécessairement la même portée suivant le contexte dans lequel ils sont employés (ATF 148 IV 409 consid. 2.3.2; 145 IV 462 consid. 4.2.3; 118 IV 248 consid. 2b). 3.2.3. Des déclarations objectivement attentatoires à l'honneur peuvent toutefois être justifiées par le devoir d'alléguer des faits dans le cadre d'une procédure (ATF 135 IV 177 consid. 4). L'art. 14 CP dispose en effet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arrêts du Tribunal fédéral 6B_960/2017 du 2 mai 2018 consid. 3.2; 6B_507/2017 du</w:t>
      </w:r>
    </w:p>
    <w:p>
      <w:r>
        <w:rPr>
          <w:b/>
        </w:rPr>
        <w:t>E. 8</w:t>
      </w:r>
    </w:p>
    <w:p>
      <w:r>
        <w:t>septembre 2017 consid. 3.4). Ainsi, tant la partie que son avocat peuvent se prévaloir de l'art. 14 CP à condition de s'être exprimés de bonne foi, de s'être limités à ce qui est nécessaire et pertinent et d'avoir présenté comme telles de simples suppositions (ATF 131 IV 154 consid. 1.3.1; 123 IV 97 consid. 2c/aa; 118 IV 248 consid. 2c et d; 116 IV 211 consid. 4a). 3.2.4. Dans le cadre d'un procès, une atteinte à l'honneur ne doit être admise que restrictivement, surtout si les propos litigieux ne s'adressent qu'aux membres d'une autorité judiciaire, qui sont à même de faire la part des choses (ACPR/342/2025 du 7 mai 2025 consid. 3.2.2; B. CORBOZ, La diffamation in SJ 1992 p. 646; LU : II. K. 22.02.2005; LGVE 2005 I no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