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ACPR/94/2020 vom 17. Juni 2019</w:t>
      </w:r>
    </w:p>
    <w:p>
      <w:r>
        <w:t>GE Cour de justice, 2019-06-17, FR</w:t>
      </w:r>
    </w:p>
    <w:p>
      <w:r>
        <w:rPr>
          <w:b/>
        </w:rPr>
        <w:t xml:space="preserve">Quelle: </w:t>
      </w:r>
      <w:r>
        <w:t>https://mcp.opencaselaw.ch/entscheid/ge_gerichte_ACPR_94_2020</w:t>
      </w:r>
    </w:p>
    <w:p>
      <w:r>
        <w:t>FR: GE_GERICHTE ACPR/94/2020 du 17 juin 2019</w:t>
      </w:r>
    </w:p>
    <w:p>
      <w:r>
        <w:t>IT: GE_GERICHTE ACPR/94/2020 del 17 giugno 2019</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w:t>
      </w:r>
    </w:p>
    <w:p>
      <w:r>
        <w:rPr>
          <w:b/>
        </w:rPr>
        <w:t>E. 2</w:t>
      </w:r>
    </w:p>
    <w:p>
      <w:r>
        <w:t>Il convient toutefois d'examiner si la recourante dispose de la qualité pour recourir.</w:t>
      </w:r>
    </w:p>
    <w:p>
      <w:r>
        <w:rPr>
          <w:b/>
        </w:rPr>
        <w:t>E. 2.1</w:t>
      </w:r>
    </w:p>
    <w:p>
      <w:r>
        <w:t>Selon l'art. 382 al. 1 CPP, toute partie qui a un intérêt juridiquement protégé à l'annulation ou à la modification d'une décision a qualité pour recourir contre celle- 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w:t>
      </w:r>
    </w:p>
    <w:p>
      <w:r>
        <w:rPr>
          <w:b/>
        </w:rPr>
        <w:t>E. 2.2</w:t>
      </w:r>
    </w:p>
    <w:p>
      <w:r>
        <w:t>A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 arrêts du Tribunal fédéral 6B_1315/2015 du 9 août 2016 consid. 1.2.1, 6B_116/2015 du 8 octobre 2015 consid. 2.1. et 1B_9/2015 du 23 juin 2015 consid. 2.3.2).</w:t>
      </w:r>
    </w:p>
    <w:p>
      <w:r>
        <w:rPr>
          <w:b/>
        </w:rPr>
        <w:t>E. 2.3</w:t>
      </w:r>
    </w:p>
    <w:p>
      <w:r>
        <w:t>En l'espèce, bien que la plainte pénale du 22 mars 2018 semble avoir été déposée par C______, il faut comprendre, sous peine de formalisme excessif (arrêt du Tribunal fédéral 6B_1248/2019 du 17 décembre 2019 consid. 1.3.) que le prénommé agissait en réalité au nom de A______ SÀRL, puisque les faits dénoncés n'ont été commis qu'au préjudice de cette dernière. De plus, tant les courriers adressés par son conseil au Ministère public dans le cadre de la procédure pénale que l'écriture de</w:t>
      </w:r>
    </w:p>
    <w:p>
      <w:r>
        <w:t>- 9/15 - P/5662/2018 recours ont été faits au nom de ladite société. À aucun moment, nonobstant la teneur de l'art. 118 al. 4 CPP, l'attention de A______ SÀRL ou de son représentant n'a été attirée sur la nécessité que celle-ci se constitue formellement partie plaignante. Le Ministère public a enfin procédé à une assimilation de la personne physique à la société, puisqu'il est précisément fait référence à A______ SÀRL en qualité de partie plaignante dans l'ordonnance querellée. La constitution de cette dernière en qualité de partie plaignante, intervenue par actes concluants dès le début de la procédure, devrait par conséquente être admise. Cette question peut toutefois demeurer ouverte, au vu des considérations qui suivent.</w:t>
      </w:r>
    </w:p>
    <w:p>
      <w:r>
        <w:rPr>
          <w:b/>
        </w:rPr>
        <w:t>E. 3</w:t>
      </w:r>
    </w:p>
    <w:p>
      <w:r>
        <w:t>L'ensemble des pièces nouvelles produites à l'appui de son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4</w:t>
      </w:r>
    </w:p>
    <w:p>
      <w:r>
        <w:t>La recourante reproche au Ministère public une violation du principe de célérité.</w:t>
      </w:r>
    </w:p>
    <w:p>
      <w:r>
        <w:rPr>
          <w:b/>
        </w:rPr>
        <w:t>E. 4.1</w:t>
      </w:r>
    </w:p>
    <w:p>
      <w:r>
        <w:t>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(ATF 128 I 149 consid. 2.2 p. 151).</w:t>
      </w:r>
    </w:p>
    <w:p>
      <w:r>
        <w:rPr>
          <w:b/>
        </w:rPr>
        <w:t>E. 4.2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w:t>
      </w:r>
    </w:p>
    <w:p>
      <w:r>
        <w:rPr>
          <w:b/>
        </w:rPr>
        <w:t>E. 4.3</w:t>
      </w:r>
    </w:p>
    <w:p>
      <w:r>
        <w:t>Le terme "immédiatement" signifie essentiellement, dans ce contexte, que le Ministère public doit veiller au principe de célérité. Il ne l'empêche pas de procéder à de premières investigations, notamment lorsque les éléments qui lui ont été</w:t>
      </w:r>
    </w:p>
    <w:p>
      <w:r>
        <w:t>- 10/15 - P/5662/2018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Zurich 2009, n. 8 ad art. 309).</w:t>
      </w:r>
    </w:p>
    <w:p>
      <w:r>
        <w:rPr>
          <w:b/>
        </w:rPr>
        <w:t>E. 4.4</w:t>
      </w:r>
    </w:p>
    <w:p>
      <w:r>
        <w:t>En l'espèce, si le Ministère public a, certes, pu manquer de célérité en rendant l'ordonnance querellée quinze mois après le dépôt de la plainte pénale, cela ne saurait entraîner son annulation ou engendrer l'ouverture d'une instruction, dans la mesure où le prononcé de ladite ordonnance n'est soumis à aucun délai. Partant, le grief sera rejeté.</w:t>
      </w:r>
    </w:p>
    <w:p>
      <w:r>
        <w:rPr>
          <w:b/>
        </w:rPr>
        <w:t>E. 5</w:t>
      </w:r>
    </w:p>
    <w:p>
      <w:r>
        <w:t>La recourante se plaint d'un accès indu à son système informatique au sens de l'art. 143bis CP ainsi que d'une violation de l'art. 23 LCD cum 3 al.1 let. a, 4 let. a et 6 LCD.</w:t>
      </w:r>
    </w:p>
    <w:p>
      <w:r>
        <w:rPr>
          <w:b/>
        </w:rPr>
        <w:t>E. 5.1</w:t>
      </w:r>
    </w:p>
    <w:p>
      <w:r>
        <w:t>Ces infractions se poursuivent uniquement sur plainte.</w:t>
      </w:r>
    </w:p>
    <w:p>
      <w:r>
        <w:rPr>
          <w:b/>
        </w:rPr>
        <w:t>E. 5.2</w:t>
      </w:r>
    </w:p>
    <w:p>
      <w:r>
        <w:t>Selon l'art. 31 CP, le droit de porter plainte se prescrit par trois mois. Il s'agit d'un délai de péremption qui ne peut être ni interrompu, ni prolongé, et qui ne concerne que les infractions poursuivies sur plainte. Le point de départ du délai de plainte est le jour où le lésé a connaissance non seulement de l'auteur de l'infraction mais aussi de l'infraction elle-même (M. DUPUIS / B. GELLER / G. MONNIER / L. MOREILLON / C. PIGUET / C. BETTEX / D. STOLL (éds), Code pénal - Petit commentaire, Bâle 2012, ns. 2-4 ad art. 31 CP). L'observation du délai de plainte fixé à l'art. 31 CP est une condition d'exercice de l'action publique (ATF 118 IV 325 consid. 2b).</w:t>
      </w:r>
    </w:p>
    <w:p>
      <w:r>
        <w:rPr>
          <w:b/>
        </w:rPr>
        <w:t>E. 5.3</w:t>
      </w:r>
    </w:p>
    <w:p>
      <w:r>
        <w:t>En l'espèce, la recourante a déposé plainte contre le mis en cause le 22 mars 2018, alors qu'elle avait connaissance des faits dénoncés depuis le 7 avril 2017, date à laquelle ce dernier se serait, d'après elle, connecté de façon indue à son système informatique. Elle allègue en outre avoir découvert, très vite après le licenciement de son employé – dont le dernier jour de travail était le 31 mars 2017 – que celui-ci démarcherait activement sa clientèle, ce qui ressort expressément des courriers qu'elle a adressés au [syndicat] I______ le 28 juillet 2017, respectivement à la Caisse Cantonale Genevoise de compensation le 14 février 2018. À teneur du premier courrier, elle a reproché au mis en cause d'être intervenu le 26 juillet 2017 auprès [de l'entreprise] D______, d'avoir proposé et facturé ses services et partant d'avoir violé ses obligations contractuelles. Il ressort en outre desdites missives, qu'elle aurait découvert, dans le courant du mois de juillet 2017 déjà, par le biais de "plusieurs de</w:t>
      </w:r>
    </w:p>
    <w:p>
      <w:r>
        <w:t>- 11/15 - P/5662/2018 ses clients", que le mis en cause leur aurait proposé ses services et à moindre coût. Pour le surplus, les diverses factures et courriels que la recourante a produites à l'appui de sa plainte, relatives aux services que le mis en cause aurait rendus à E______, à la société F______ SA, à G______ SA et à J______ SA sont datés du 3 juillet, du 18 juillet 2017, du 15 août 2017, respectivement du 18 décembre 2017. Quant à la rupture de ses relations contractuelles avec Me K______, il ressort des pièces versées à la procédure, que celle-ci remonte au mois de mai 2017. Ainsi, aucun des documents produits ne se rapporte à des agissements intervenus dans les trois mois précédant le dépôt de la plainte, de simples contacts avec des clients de la plaignante n'étant, pour le surplus, à eux seuls, pas constitutifs d'une infraction. Force est ainsi de constater que la plaignante avait suffisamment d'informations en sa possession le 26 juillet 2017 déjà et que, partant, le délai pour déposer plainte a commencé à courir ce jour-là. Dans ces conditions, le dépôt, le 22 mars 2018, de la plainte pénale doit être considéré comme tardif, s'agissant de ces infractions.</w:t>
      </w:r>
    </w:p>
    <w:p>
      <w:r>
        <w:rPr>
          <w:b/>
        </w:rPr>
        <w:t>E. 5.4</w:t>
      </w:r>
    </w:p>
    <w:p>
      <w:r>
        <w:t>Admettrait-on le contraire que le recours devrait de toute manière être rejeté.</w:t>
      </w:r>
    </w:p>
    <w:p>
      <w:r>
        <w:rPr>
          <w:b/>
        </w:rPr>
        <w:t>E. 5.4.1</w:t>
      </w:r>
    </w:p>
    <w:p>
      <w:r>
        <w:t>En effet, le fait que le mis en cause ait déployé une activité dans le domaine de services informatiques au terme de son contrat de travail n'implique pas la divulgation d'informations fallacieuses ou inexactes susceptibles de l'avantager ou de faire naître un risque de confusion avec la recourante. Par ailleurs, et contrairement à ce que prétend cette dernière, les courriels échangés entre ses clients et le mis en cause ne démontrent nullement que les premier nommés auraient été incités à rompre leurs relations contractuelles avec la société, en vue de conclure un nouveau contrat avec l'intimé. Au contraire, ce dernier soutient ne jamais avoir tenté de démarcher les clients de A______ SÀRL mais avoir été directement contacté par ces derniers. Cette version des faits est corroborée par les déclarations de C______, qui reconnaît lui- même que J______ SA avait sollicité les services de l'intimé au mois de décembre 2017, de même que D______ au mois de juillet 2017, faute pour A______ SÀRL d'avoir du personnel disponible immédiatement pour s'en occuper. Par ailleurs, il ressort des pièces produites au dossier que les autres clients de la recourante, soit E______, F______ SA et G______ SA, qu'elle estime avoir été démarchés par le mis en cause, sont toujours ses clients. Pour le surplus, aucun élément objectif figurant au dossier ne permet d'établir que le précité aurait tenté activement de les attirer, en particulier en dénigrant le personnel de la recourante ou en proposant des prix considérablement inférieurs à ceux de cette dernière. Quant à Me K______, il ressort des courriers produits par le mis en cause, qu'il aurait mis un terme à ses relations contractuelles avec la recourante au mois de mai 2017, en raison de manquements professionnels reprochés à cette dernière et non par la faute de son ancien employé, qui l'aurait dénigré ou démarché en lui proposant des services à moindre coût.</w:t>
      </w:r>
    </w:p>
    <w:p>
      <w:r>
        <w:t>- 12/15 - P/5662/2018</w:t>
      </w:r>
    </w:p>
    <w:p>
      <w:r>
        <w:rPr>
          <w:b/>
        </w:rPr>
        <w:t>E. 5.4.2</w:t>
      </w:r>
    </w:p>
    <w:p>
      <w:r>
        <w:t>Les conditions de l'infraction à l'art. 143bis CP ne sont pas davantage réalisées. En effet, la recourante allègue que ce n'est, qu'après avoir découvert, de manière fortuite, qu'une personne – qui d'après elle, était le mis en cause – s'était loguée à son système informatique le 7 avril 2017, qu'elle aurait procédé à la réinitialisation des mots de passe permettant d'accéder au système informatique de la société. Il s'ensuit que la connexion enregistrée à la date précitée, aussi suspecte parait-elle, ne l'a pas été en violation d'une protection spécifique. C'est donc à juste titre que le Ministère public n'est pas entré en matière sur la plainte de la recourante, et ce indépendamment du respect ou non du délai prévu par l'art. 31 CP, les actes d'enquête sollicités n'étant de surcroît pas de nature à établir le caractère pénal des actes reprochés à B______.</w:t>
      </w:r>
    </w:p>
    <w:p>
      <w:r>
        <w:rPr>
          <w:b/>
        </w:rPr>
        <w:t>E. 6</w:t>
      </w:r>
    </w:p>
    <w:p>
      <w:r>
        <w:t>La recourante invoque enfin une violation à l'art. 143 CP.</w:t>
      </w:r>
    </w:p>
    <w:p>
      <w:r>
        <w:rPr>
          <w:b/>
        </w:rPr>
        <w:t>E. 6.1</w:t>
      </w:r>
    </w:p>
    <w:p>
      <w:r>
        <w:t>À teneur de l'art. 143 al. 1 CP, se rend coupable de soustraction de données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Cette disposition complète les normes telles que l'appropriation illégitime ou le vol, dont la protection ne s'étend généralement qu'aux droits de propriété sur des choses mobilières. L'infraction vise ici une donnée, à savoir toute information qui peut faire l'objet d'une communication humaine, qui n'est ni une chose, ni une valeur patrimoniale. Pour être qualifiée d'informatique, elle doit être stockée ou traitée par un ordinateur (B. CORBOZ, Les infractions en droit suisse, Vol. I, Berne 2010, n. 1 à 3 ad art. 143 CP). La donnée doit être protégée, en ce sens que son accès doit être interdit par le verrouillage du local abritant l'ordinateur, la mise sous clé des supports de données, l'emploi de mots de passe, le codage des données transmises ou d'autres mesures analogues et que, pour se procurer les données, l'auteur soit obligé de franchir ces obstacles dont il ne peut ignorer le sens (FF 1991 II 977 et 979). Celui qui, au bénéfice d'un mot de passe communiqué par son employeur, accède à des serveurs lui permettant de disposer de données spécifiques ne se rend pas coupable de soustraction de données, ceci à défaut de protection spécifique (arrêt du Tribunal cantonal valaisan du 19 mai 2005, in Revue valaisanne de jurisprudence 2006 p. 222).</w:t>
      </w:r>
    </w:p>
    <w:p>
      <w:r>
        <w:rPr>
          <w:b/>
        </w:rPr>
        <w:t>E. 6.2</w:t>
      </w:r>
    </w:p>
    <w:p>
      <w:r>
        <w:t>En l'espèce, la recourante reproche au mis en cause de s'être introduit, sans droit, dans son système informatique et en déduit qu'il aurait collecté des données personnelles en vue de lui faire concurrence. Les "Time-Sheets" que l'intimé a produits le 12 décembre 2018, dans le cadre de la procédure prud'homale qui les oppose démontraient, selon elle, la soustraction de données confidentielles.</w:t>
      </w:r>
    </w:p>
    <w:p>
      <w:r>
        <w:t>- 13/15 - P/5662/2018 Force est néanmoins de constater qu'au vu de ce qui précède, la recourante n'a pas rendu vraisemblable l'existence d'un quelconque enrichissement illégitime du mis en cause et n'apporte aucun élément en ce sens. Pour ce motif déjà, il n'existe pas de prévention pénale suffisante de la commission de l'infraction de soustraction de données. Par ailleurs, l'infraction à l'art. 143 CP n'est réalisée que dans l'hypothèse où les données informatiques ne sont pas destinées à l'auteur et si elles ont été protégées contre tout accès indu de sa part. Or, et même à supposer que le mis en cause se serait effectivement connecté au système informatique de la recourante et aurait soustrait à cette occasion des documents confidentiels – ce qui n'est corroboré par aucun élément objectif –, la simple utilisation de ses identifiants informatiques et de son mot de passe – qui n'avait pas été modifié par son employeur – lui aurait suffi à accéder aux serveurs contenant les données dont il se serait, d'après la recourante, emparé. Il ne se serait ainsi retrouvé confronté à aucune mesure de sécurité spécifique lui entravant l'accès aux documents et n'aurait pas dû surmonter un quelconque obstacle de sécurité mis en œuvre volontairement par la recourante. À ce titre, le simple fait que les rapports de travail existants entre ces derniers aient pris fin au moment du téléchargement de données ne suffit pas à retenir un accès indu, faute de sécurité suffisante, de type technique, permettant de remplir les réquisits posés par l'article précité. La décision querellée est donc également fondée sur ce point.</w:t>
      </w:r>
    </w:p>
    <w:p>
      <w:r>
        <w:rPr>
          <w:b/>
        </w:rPr>
        <w:t>E. 7</w:t>
      </w:r>
    </w:p>
    <w:p>
      <w:r>
        <w:t>Justifiée, elle sera donc confirmée.</w:t>
      </w:r>
    </w:p>
    <w:p>
      <w:r>
        <w:rPr>
          <w:b/>
        </w:rPr>
        <w:t>E. 8</w:t>
      </w:r>
    </w:p>
    <w:p>
      <w:r>
        <w:t>La recourante, qui succombe, supportera les frais envers l'État, qui seront fixés en totalité à CHF 900.- (art. 428 al. 1 CPP et 13 al. 1 du Règlement fixant le tarif des frais en matière pénale, RTFMP ; E 4 10.03). * * * * *</w:t>
      </w:r>
    </w:p>
    <w:p>
      <w:r>
        <w:t>- 14/15 - P/5662/2018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