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ACPR/948/2024 vom 26. September 2024</w:t>
      </w:r>
    </w:p>
    <w:p>
      <w:r>
        <w:t>GE Cour de justice, 2024-09-26, FR</w:t>
      </w:r>
    </w:p>
    <w:p>
      <w:r>
        <w:rPr>
          <w:b/>
        </w:rPr>
        <w:t xml:space="preserve">Quelle: </w:t>
      </w:r>
      <w:r>
        <w:t>https://mcp.opencaselaw.ch/entscheid/ge_gerichte_ACPR_948_2024</w:t>
      </w:r>
    </w:p>
    <w:p>
      <w:r>
        <w:t>FR: GE_GERICHTE ACPR/948/2024 du 26 septembre 2024</w:t>
      </w:r>
    </w:p>
    <w:p>
      <w:r>
        <w:t>IT: GE_GERICHTE ACPR/948/2024 del 26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w:t>
      </w:r>
    </w:p>
    <w:p>
      <w:r>
        <w:t>- 4/8 - P/13382/2024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reprochent au Ministère public de ne pas être entré en matière sur leurs plaintes.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non-entrée en matière peut ainsi se justifier pour des motifs de faits. Il s'agit des cas où la preuve d'une infraction, soit la réalisation en fait de ses éléments constitutifs, n'est pas apportée par les pièces dont dispose le ministère public. Il faut que l'insuffisance de charge soit manifeste (arrêt du Tribunal fédéral 6B_544/2016 du 17 novembre 2016 consid. 3.1; Y. JEANNERET / A. KUHN / C. PERRIER DEPEURSINGE (éds), Commentaire romand : Code de procédure pénale suisse, 2ème éd., Bâle 2019, n. 9 ad art. 310). Une non-entrée en matière s'impose par ailleurs lorsque le litige est de nature purement civile (ATF 137 IV 285 consid. 2.3).</w:t>
      </w:r>
    </w:p>
    <w:p>
      <w:r>
        <w:rPr>
          <w:b/>
        </w:rPr>
        <w:t>E. 3.2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w:t>
      </w:r>
    </w:p>
    <w:p>
      <w:r>
        <w:t>- 5/8 - P/13382/2024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faut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arrêts du Tribunal fédéral 6B_1180/2020 du 10 juin 2021 consid. 2.2).</w:t>
      </w:r>
    </w:p>
    <w:p>
      <w:r>
        <w:rPr>
          <w:b/>
        </w:rPr>
        <w:t>E. 3.3</w:t>
      </w:r>
    </w:p>
    <w:p>
      <w:r>
        <w:t>Commet un abus de confiance, au sens de l'art. 138 ch. 1 al. 2 CP, la personne qui, sans droit, emploie à son profit des valeurs patrimoniales qui lui ont été confiées. Cette disposition protège le droit de celui qui a confié de telles valeurs – via le transfert du pouvoir d’en disposer à l’auteur – à ce qu’elles soient utilisées dans le but qu’il a assigné (arrêt du Tribunal fédéral 6B_972/2022 du 12 janvier 2024 consid. 3.1.1). Le comportement délictueux consiste à employer lesdites valeurs contrairement aux instructions reçues, en s'écartant de la destination fixée (ibidem).</w:t>
      </w:r>
    </w:p>
    <w:p>
      <w:r>
        <w:rPr>
          <w:b/>
        </w:rPr>
        <w:t>E. 3.4</w:t>
      </w:r>
    </w:p>
    <w:p>
      <w:r>
        <w:t>En l'espèce, les recourants échouent à démontrer que les CHF 20'000.- et CHF 28'000.- transférés à la société mise en cause au mois de novembre 2023 l'auraient été dans le but spécifique d'acheter de l'or, ce qui ne ressort pas des contrats produits, ni des échanges via WhatsApp des recourants avec E______. C'est donc à juste titre que le Ministère public a retenu qu'il n'existait pas de soupçons suffisants d'infractions d'abus de confiance, faute pour les valeurs patrimoniales confiées d'avoir été utilisées contrairement aux instructions reçues. Quant à une infraction d'escroquerie, dans la mesure où les recourants estiment que les acteurs de la société mise en cause les auraient trompés, en particulier s'agissant de l'existence de locaux où elle aurait développé son activité, il leur appartenait, avant de lui confier près de CHF 50'000.-, de procéder à quelques vérifications de base. Cela est d'autant plus vrai qu'il s'est agi selon les recourants de rencontrer les acteurs de la société mise en cause dans leurs propres locaux, et non ceux de celle-ci, au prétexte de leur indisponibilité pour cause de travaux, de signer des contrats des plus laconiques et dont certaines phrases sont dénuées de sens, qu'ils ont renvoyés par messagerie WhatsApp avant de procéder aux transferts litigieux. Autrement dit, la condition de l'astuce n'apparait pas réalisée, dans la mesure où les recourants – professionnels de la</w:t>
      </w:r>
    </w:p>
    <w:p>
      <w:r>
        <w:t>- 6/8 - P/13382/2024 finance – pouvaient se protéger avec le minimum de prudence que l'on pouvait attendre d'eux, avec leur activité de conseiller financier s'agissant du recourant et de gestionnaire de fortune s'agissant de la recourante. C'est ainsi à juste titre que le Ministre public a considéré que le litige était de nature civile et a rendu l'ordonnance de non-entrée en matière querellée.</w:t>
      </w:r>
    </w:p>
    <w:p>
      <w:r>
        <w:rPr>
          <w:b/>
        </w:rPr>
        <w:t>E. 4</w:t>
      </w:r>
    </w:p>
    <w:p>
      <w:r>
        <w:t>Infondé, le recours sera rejeté.</w:t>
      </w:r>
    </w:p>
    <w:p>
      <w:r>
        <w:rPr>
          <w:b/>
        </w:rPr>
        <w:t>E. 5</w:t>
      </w:r>
    </w:p>
    <w:p>
      <w:r>
        <w:t>Les recourants, qui succombent, supporteront conjointement et solidairement les frais envers l'État, fixés en totalité à CHF 1'000.- (art. 428 al. 1 CPP et 13 al. 1 du Règlement fixant le tarif des frais en matière pénale, RTFMP ; E 4 10.03). * * * * *</w:t>
      </w:r>
    </w:p>
    <w:p>
      <w:r>
        <w:t>- 7/8 - P/13382/2024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