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ACPR/948/2023 vom 12. April 2022</w:t>
      </w:r>
    </w:p>
    <w:p>
      <w:r>
        <w:t>GE Cour de justice, 2022-04-12, FR</w:t>
      </w:r>
    </w:p>
    <w:p>
      <w:r>
        <w:rPr>
          <w:b/>
        </w:rPr>
        <w:t xml:space="preserve">Quelle: </w:t>
      </w:r>
      <w:r>
        <w:t>https://mcp.opencaselaw.ch/entscheid/ge_gerichte_ACPR_948_2023</w:t>
      </w:r>
    </w:p>
    <w:p>
      <w:r>
        <w:t>FR: GE_GERICHTE ACPR/948/2023 du 12 avril 2022</w:t>
      </w:r>
    </w:p>
    <w:p>
      <w:r>
        <w:t>IT: GE_GERICHTE ACPR/948/2023 del 12 aprile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les conséquences économiques accessoires d’une ordonnance de non-entrée en matière, points sujets à contestation auprès de la Chambre de céans (art. 310 al. 2, 81 cum 320 al. 1 et 393 al. 1 let. a CPP; art. 128 LOJ/GE), et émaner du prévenu qui, partie à la procédure (art. 104 al. 1 let. a CPP), a qualité pour agir, ayant un intérêt juridiquement protégé à ce qu’il soit statué sur ses prétentions en indemnisation au sens de l’art. 429 CPP (art. 115 cum 382 CPP).</w:t>
      </w:r>
    </w:p>
    <w:p>
      <w:r>
        <w:rPr>
          <w:b/>
        </w:rPr>
        <w:t>E. 2</w:t>
      </w:r>
    </w:p>
    <w:p>
      <w:r>
        <w:t>Le recourant reproche au Ministère public d'avoir omis, dans l'ordonnance querellée, de traiter de la question de son indemnité au sens de l'art. 429 al. 1 CPP.</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w:t>
      </w:r>
    </w:p>
    <w:p>
      <w:r>
        <w:t>- 4/7 - P/12318/2020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p. 226; arrêt du Tribunal fédéral 6B_1135/2021 du 9 mai 2022 consid. 1.1).</w:t>
      </w:r>
    </w:p>
    <w:p>
      <w:r>
        <w:rPr>
          <w:b/>
        </w:rPr>
        <w:t>E. 2.2</w:t>
      </w:r>
    </w:p>
    <w:p>
      <w:r>
        <w:t>En l'espèce, le Ministère public ne conteste pas l'omission reprochée et l'ordonnance querellée ne traite effectivement pas de l'éventuelle indemnité due au prévenu. Cela étant, dans le cadre de ses observations, l'autorité précédente a développé les raisons pour lesquelles elle considère que le prévenu n'a pas droit à une indemnisation pour l'exercice raisonnable de ses droits. Ainsi, dès lors que le recourant a pu, à son tour, se déterminer sur ces observations et que la Chambre de céans dispose d'un plein pouvoir de cognition, en droit et en fait (art. 393 al. 2 CPP), le vice affectant l'ordonnance querellée sera considéré comme réparé.</w:t>
      </w:r>
    </w:p>
    <w:p>
      <w:r>
        <w:rPr>
          <w:b/>
        </w:rPr>
        <w:t>E. 3</w:t>
      </w:r>
    </w:p>
    <w:p>
      <w:r>
        <w:t>Le recourant conclut au versement d'une indemnité au sens de l'art. 429 al. 1 CPP pour la procédure préliminaire.</w:t>
      </w:r>
    </w:p>
    <w:p>
      <w:r>
        <w:rPr>
          <w:b/>
        </w:rPr>
        <w:t>E. 3.1</w:t>
      </w:r>
    </w:p>
    <w:p>
      <w:r>
        <w:t>En cas de refus d'entrer en matière, le prévenu peut prétendre à l’octroi de dépens au sens de l’art. 429 al. 1 let. a CPP (ATF 139 IV 241 consid. 1).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p. 47;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consid. 2.2 p. 48; arrêt du Tribunal fédéral 6B_938/2018 du 28 novembre 2018 consid. 1.1).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w:t>
      </w:r>
    </w:p>
    <w:p>
      <w:r>
        <w:t>- 5/7 - P/12318/2020 considérée comme ne constituant pas un exercice raisonnable des droits de la défense. Cela pourrait par exemple être le cas lorsque la procédure fait immédiatement l'objet d'un classement après une première audition (ATF 138 IV 197 consid. 2.3.5 p. 203 s.; arrêt du Tribunal fédéral 6B_387/2013 du 8 juillet 2013 consid. 2.1 non publié aux ATF 139 IV 241).</w:t>
      </w:r>
    </w:p>
    <w:p>
      <w:r>
        <w:rPr>
          <w:b/>
        </w:rPr>
        <w:t>E. 3.2</w:t>
      </w:r>
    </w:p>
    <w:p>
      <w:r>
        <w:t>Selon la casuistique jurisprudentielle fédérale et cantonale,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 une procédure ouverte pour atteinte à l’honneur ayant donné lieu à deux audiences d’instruction et une tentative de conciliation, avant d’être classée (arrêt du Tribunal fédéral 6B_458/2014 du 25 septembre 2014 consid. 2.4); - un cas de dommages à la propriété clos par une ordonnance de non-entrée en matière, après une seule audition du prévenu par la police (arrêt du Tribunal fédéral 6B_387/2013 consid. 2.2 non publié aux ATF 139 IV 241); - un cas de gestion déloyale et de violation de la LCD, clos après l'audition unique du prévenu par la police, au cours de laquelle celui-ci n'avait qu'à se prononcer sur l'exercice d'une activité concurrente, sans que sa version des faits "aurait pu être considérée comme d'emblée peu crédible" (ACPR/232/2022 du 7 avril 2022 consid. 2.3); - une affaire de diffamation, considérée comme simple en fait et en droit, dès lors que le prévenu n'avait dû que se déterminer sur les motifs pour lesquels il s'était exprimé comme il l'avait fait, respectivement les raisons qu'il avait de tenir de bonne foi pour vrais ses allégués (ACPR/748/2019 du 25 septembre 2019 consid. 3.2); - une non-entrée en matière pour dénonciation calomnieuse, où la prévenue, auditionnée par la police, devait expliquer les raisons pour lesquelles elle pensait que son ex-époux disposait des ressources nécessaires pour s'acquitter des contributions d'entretien qu'elle l'avait accusé de n'avoir pas versé, ce qui n'impliquait aucun développement juridique particulier (ACPR/176/2019 du 6 mars 2019 consid. 3.2).</w:t>
      </w:r>
    </w:p>
    <w:p>
      <w:r>
        <w:rPr>
          <w:b/>
        </w:rPr>
        <w:t>E. 3.3</w:t>
      </w:r>
    </w:p>
    <w:p>
      <w:r>
        <w:t>En l'espèce, les peines-menaces afférentes aux infractions anciennement reprochées au recourant (art. 123 et 312 CP) qualifiaient celles-ci de crimes, revêtant ainsi une certaine gravité.</w:t>
      </w:r>
    </w:p>
    <w:p>
      <w:r>
        <w:t>- 6/7 - P/12318/2020 Pour autant, le Ministère public a refusé d'entrer en matière sur la plainte alors que le recourant n'avait été auditionné par l'IGS qu'à une seule reprise. À cette occasion, ce dernier a relaté, comme il a pu être habitué à le faire dans le cadre de ses fonctions, le déroulement de l'intervention litigieuse, au demeurant déjà exposé dans un rapport de renseignements. Ses explications sont ainsi restées purement factuelles, sur un événement bien précis, sans considération juridique. Il n'avait pas de raison de penser que ses déclarations seraient remises en doute. En outre, de par son métier, il a dû être sensibilisé – voire même déjà confronté – à l'IGS, si bien qu'il doit en connaître la mission. Il sait ainsi qu'en qualité d'organe d'enquête interne à la police, cette autorité est tenue de mener une enquête face à une dénonciation contre un membre des forces de l'ordre. Son audition représentait ainsi une tâche parmi d'autres relevant de son cahier des charges en tant que policier et, au stade où en était la procédure, les soupçons qui pesaient sur lui demeuraient abstraits. Il n'avait donc pas de raison de craindre des répercussions sur sa carrière. Enfin, le recourant n'a allégué aucun impact particulier de la procédure sur sa vie personnelle et la plainte déposée contre lui n'a pas abouti; elle n'a même pas dépassé le stade des investigations policières. Dans ces circonstances, en comparaison avec les jurisprudences précitées, le recours à un avocat ne peut être considéré comme constituant un exercice raisonnable des droits de défense du recourant; les honoraires du conseil de ce dernier ne sauraient donc être assumés par l'État.</w:t>
      </w:r>
    </w:p>
    <w:p>
      <w:r>
        <w:rPr>
          <w:b/>
        </w:rPr>
        <w:t>E. 4</w:t>
      </w:r>
    </w:p>
    <w:p>
      <w:r>
        <w:t>Infondé, le recours doit, partant, être rejeté.</w:t>
      </w:r>
    </w:p>
    <w:p>
      <w:r>
        <w:rPr>
          <w:b/>
        </w:rPr>
        <w:t>E. 5</w:t>
      </w:r>
    </w:p>
    <w:p>
      <w:r>
        <w:t>Bien que le recourant succombe, il lui a fallu recourir pour obtenir une décision sur ses prétentions en indemnisation, le Ministère public ayant omis de statuer à ce propos. Les frais de la procédure de recours seront donc laissés à la charge de l’État.</w:t>
      </w:r>
    </w:p>
    <w:p>
      <w:r>
        <w:rPr>
          <w:b/>
        </w:rPr>
        <w:t>E. 6</w:t>
      </w:r>
    </w:p>
    <w:p>
      <w:r>
        <w:t>Le prévenu peut, corrélativement (ATF 144 IV 207 consid. 1.8.2), prétendre au versement de dépens pour l'instance de recours. Il chiffre à CHF 600.- TTC les honoraires de son avocat, correspondant à 1 heure et 30 minutes d’activité d'avocat-stagiaire au tarif horaire de CHF 250.-, et 30 minutes d'activité d'un chef d'étude, facturées au tarif horaire de CHF 450.-. Cette quotité apparaît raisonnable au regard des circonstances de l’espèce, de sorte qu’il sera fait droit à sa conclusion. * * * * *</w:t>
      </w:r>
    </w:p>
    <w:p>
      <w:r>
        <w:t>- 7/7 - P/12318/2020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