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ACPR/947/2025 vom 21. August 2025</w:t>
      </w:r>
    </w:p>
    <w:p>
      <w:r>
        <w:t>GE Cour de justice, 2025-08-21, FR</w:t>
      </w:r>
    </w:p>
    <w:p>
      <w:r>
        <w:rPr>
          <w:b/>
        </w:rPr>
        <w:t xml:space="preserve">Quelle: </w:t>
      </w:r>
      <w:r>
        <w:t>https://mcp.opencaselaw.ch/entscheid/ge_gerichte_ACPR_947_2025</w:t>
      </w:r>
    </w:p>
    <w:p>
      <w:r>
        <w:t>FR: GE_GERICHTE ACPR/947/2025 du 21 août 2025</w:t>
      </w:r>
    </w:p>
    <w:p>
      <w:r>
        <w:t>IT: GE_GERICHTE ACPR/947/2025 del 21 agosto 2025</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 Y. JEANNERET / A. KUHN / C. PERRIER DEPEURSINGE (éds), Commentaire romand : Code de procédure pénale suisse, 2e éd., Bâle 2019, 4 ad art. 267).</w:t>
      </w:r>
    </w:p>
    <w:p>
      <w:r>
        <w:t>- 9/15 - P/1754/2020 En tant que le recours émane de A______, partie plaignante (art. 104 al. 1 let. b CPP), reconnue comme telle par le Ministère public au motif qu’elle était restée propriétaire des tableaux, pour cause de nullité de la donation qu’elle en avait fait à B______ (pièce PP 300'008 ; cf. ACPR/652/2022 du 26 septembre 2022), celle-ci doit se voir reconnaître la qualité pour agir, ayant un intérêt juridiquement protégé à la modification ou à l'annulation de la décision querellée (art. 382 al. 1 CPP). Il en va cependant différemment s'agissant de B______. En effet, bien que l'ordonnance du Ministère public refusant de lui accorder la qualité de partie plaignante ait été partiellement annulée par la Chambre de céans (ACPR/652/2022 précité), la donation en sa faveur étant frappée de nullité, il ne bénéficie d'aucun intérêt juridiquement protégé à s'opposer à la levée du séquestre, puisqu'il ne peut, à aucun titre, revendiquer la propriété ou la restitution des œuvres. La qualité pour recourir doit dès lors lui être niée.</w:t>
      </w:r>
    </w:p>
    <w:p>
      <w:r>
        <w:rPr>
          <w:b/>
        </w:rPr>
        <w:t>E. 2</w:t>
      </w:r>
    </w:p>
    <w:p>
      <w:r>
        <w:t>La recourante conteste la levée du séquestre prononcé sur l'œuvre "J______".</w:t>
      </w:r>
    </w:p>
    <w:p>
      <w:r>
        <w:rPr>
          <w:b/>
        </w:rPr>
        <w:t>E. 2.1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être utilisés pour couvrir des créances compensatrices (art. 263 al. 1 let. e CPP). Une telle mesure est fondée sur la vraisemblance (ATF 126 I 97 consid. 3d/aa)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Tant que l'instruction n'est pas achevée et que subsiste une probabilité de confiscation, de créance compensatrice ou d'une allocation au lésé, la mesure conservatoire doit être maintenue (ATF 141 IV 360 consid. 3.2).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La confiscation n’est, ainsi, exclue que si la bonne foi du tiers est clairement et définitivement établie (arrêt du Tribunal fédéral</w:t>
      </w:r>
    </w:p>
    <w:p>
      <w:r>
        <w:t>- 10/15 - P/1754/2020 1B_22/21017 du 24 mars 2017 consid. 3.1.).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Les probabilités d'une confiscation doivent de plus se renforcer au cours de l'instruction et doivent être régulièrement vérifiées par l'autorité compétente, avec une plus grande rigueur à mesure que l'enquête progresse (ATF 122 IV 91 consid. 4).</w:t>
      </w:r>
    </w:p>
    <w:p>
      <w:r>
        <w:rPr>
          <w:b/>
        </w:rPr>
        <w:t>E. 2.2</w:t>
      </w:r>
    </w:p>
    <w:p>
      <w:r>
        <w:t>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cette disposition, il faut que l'ayant droit puisse être retrouvé et que l'objet ou la valeur patrimoniale séquestré ne soit pas revendiqué par plusieurs personnes (Message relatif à l'unification du droit de la procédure pénale du 21 décembre 2005, FF 2006 1228). Selon l'art. 267 al. 2 CPP, la restitution anticipée à l'ayant droit de valeurs patrimoniales saisies est possible s'il n'est pas contesté qu'elles proviennent d'une infraction. Cette disposition instaure une exception au principe selon lequel le sort des séquestres pénaux se règle avec la décision sur le fond de l'action publique (M. NIGGLI / M. HEER / H. WIPRÄCHTIGER, Schweizerische Strafprozessordnung / Schweizerische Jugendstrafprozessordnung, Basler Kommentar StPO/JStPO, 3e éd. Bâle 2023,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des art. 267 al. 3 à 5 CPP s'applique (Message précité, FF 2006 1229). Lorsqu'un objet ou valeur patrimoniale est revendiqué par plusieurs personnes, le ministère public ne peut procéder que par le biais de la procédure prévue à l'art. 267 al. 5 CPP (arrêt du Tribunal fédéral 1B_298/2014 du 21 novembre 2014 consid. 3.2 = SJ 2015 I 277), soit, notamment, s'il existe un doute sur l'identité du véritable ayant droit. En revanche, si le ministère public estime que le titulaire des objets/valeurs patrimoniales à restituer est clairement identifié – notamment en application de règles légales –, il doit pouvoir rendre une décision de restitution en</w:t>
      </w:r>
    </w:p>
    <w:p>
      <w:r>
        <w:t>- 11/15 - P/1754/2020 application de l'art. 267 al. 1 CPP. Cette solution se justifie d'autant plus lorsque les autres prétentions émises sont manifestement infondées. Les droits des parties ne sont pas péjorés par cette procédure puisque la voie du recours au sens de l'art. 393 al. 1 let. a CPP est ouverte contre cette décision (arrêt du Tribunal fédéral 1B_288/2017 du 26 octobre 2017 consid. 3.). Selon l'art. 267 al. 5 CPP, l'autorité pénale peut attribuer les objets ou les valeurs patrimoniales à une personne et fixer aux autres réclamants un délai pour intenter une action civile. Lorsque la situation est suffisamment claire, le ministère public peut ordonner une restitution en se fondant sur l'art. 267 al. 1 CPP. Lorsque tel n'est pas le cas, il doit procéder selon l'art. 267 al. 5 CPP en s'inspirant des solutions du droit civil. Les objets sont donc attribués provisoirement au possesseur (art. 930 CC), lequel est, en outre, présumé de bonne foi (art. 3 al. 1 CC). En présence d'indications claires sur l'inexistence de ce droit réel, l'attribution doit être ordonnée en faveur de la personne qui apparaît la mieux légitimée. L'autorité pénale procède à un examen prima facie, sur la base de l'examen du dossier. Elle répartit ainsi de façon provisoire le rôle des parties dans la procédure civile à venir, sans préjudice de la décision éventuelle au civil (arrêt du Tribunal fédéral 1B_573/2021 du 18 janvier 2022 consid. 3.1.).</w:t>
      </w:r>
    </w:p>
    <w:p>
      <w:r>
        <w:rPr>
          <w:b/>
        </w:rPr>
        <w:t>E. 2.3</w:t>
      </w:r>
    </w:p>
    <w:p>
      <w:r>
        <w:t>En l'espèce, la recourante reproche au Ministère public d'avoir retenu la bonne foi de C______ SA, quand bien même I______ avait admis avoir peut-être fait une erreur dans le processus d'achat de l'œuvre. Or, une telle argumentation ne tient compte que d'une partie des déclarations de ce dernier, qui a ajouté ne pas avoir acquis le tableau sans réflexion préalable, puisqu'il l'avait été sur facture, accompagné de tout son descriptif, et qu'il connaissait C______ SA, ainsi que Y______. Ces éléments sont établis par le dossier et le simple fait qu'il admette qu'une erreur eût pu être commise ne permet pas encore d'imputer celle-ci à C______ SA. Aucune négligence coupable ne peut ainsi être retenue pour cette dernière. S'agissant des messages échangés entre Y______ et AC_____, dans lesquels le premier indique être sur le point de vendre/acheter "deux AD_____", appartenant à la succession L______, qu'il devait faire authentifier, de sorte qu’il valait mieux "rester discret", ne sont pas de nature à exclure la bonne foi de C______ SA. En effet, si ceux- ci démontrent que Y______ souhaitait faire preuve d'une certaine prudence dans le cadre de l'achat et la revente de tableaux appartenant à cette succession, ils ne contiennent aucun élément permettant d'affirmer que C______ SA connaissait leur provenance ou qui en était désormais leur propriétaire, étant de plus précisé que ces messages ne mentionnent pas l'œuvre "J______", mais uniquement "deux AD_____". Ainsi, même à supposer que Y______ ait eu connaissance de la provenance du tableau, rien n'indique qu'il aurait transmis cette information à C______ SA et aucun élément de la procédure ne permet d'affirmer que celle-ci aurait eu des échanges avec G______. Ainsi, contrairement à ce que soutient la recourante, l'échange de messages produit ne permet également pas d'exclure la bonne foi de C______ SA.</w:t>
      </w:r>
    </w:p>
    <w:p>
      <w:r>
        <w:t>- 12/15 - P/1754/2020 Le prix payé par cette dernière (EUR 130'000.-) ne constitue également pas un indice d'absence de bonne foi, puisqu'il est même supérieur aux estimations figurant au dossier, notamment aux documents afférents à la sortie de l'œuvre d'Italie, qui l’évaluent à EUR 70'000.-. À cet égard, le montant articulé d'EUR 300'000.- dans la liste des œuvres adressée à "la banque", qui n'est ni datée ni signée, n'est pas probant, puisqu'il s'écarte de façon inexpliquée des nombreuses autres estimations, qui se trouvent toutes dans la même fourchette de prix. Ainsi, dans la mesure où le montant payé par C______ SA s'élève quasiment au double du prix estimé, il ne peut être considéré qu'il a consisté en un avantage indu en faveur de C______ SA. Au contraire, I______ a indiqué avoir surestimé la valeur de l’œuvre, de sorte qu’un montant trop élevé avait été payé. Il y a dès lors lieu de retenir que C______ SA a payé un prix correspondant, voire supérieur, à celui du marché et ainsi fourni une contre-prestation adéquate. L'absence du certificat d'authenticité, qui a été sollicité a posteriori, doit également être tempérée par le fait que C______ SA a agi pour le compte de I______, spécialiste de l'artiste en question, pour lequel elle a acquis l’œuvre, et a suivi les conseils de ce dernier. Il est donc compréhensible qu’elle se soit fiée à son expertise. Il ressort de ce qui précède que la procédure, malgré les nombreux actes d'instruction, n'a pas permis de retenir que C______ SA aurait pu ou dû avoir connaissance de faits justifiant le séquestre, aucun élément n'étant de nature à soulever des soupçons, et que l'œuvre provenait des infractions dénoncées, les circonstances entourant la transaction n'étant pas insolites. Ainsi, sa bonne foi ne peut être exclue, étant rappelé que la violation d'un devoir de diligence ou d'un devoir de se renseigner ne suffit pas. C'est donc à juste titre que le Ministère public a levé le séquestre.</w:t>
      </w:r>
    </w:p>
    <w:p>
      <w:r>
        <w:rPr>
          <w:b/>
        </w:rPr>
        <w:t>E. 3</w:t>
      </w:r>
    </w:p>
    <w:p>
      <w:r>
        <w:t>Justifiée, l'ordonnance querellée sera donc confirmée.</w:t>
      </w:r>
    </w:p>
    <w:p>
      <w:r>
        <w:rPr>
          <w:b/>
        </w:rPr>
        <w:t>E. 4</w:t>
      </w:r>
    </w:p>
    <w:p>
      <w:r>
        <w:t>Selon l'art. 428 al. 1 CCP, les frais de la procédure de recours sont mis à la charge des parties dans la mesure où elles ont obtenu gain de cause ou succombé. La partie dont le recours est irrecevable ou qui retire le recours est également considérée avoir succombé. Les recourants, qui succombent tous deux, supporteront, conjointement et solidairement, les frais envers l'État, qui seront fixés en totalité à CHF 2'000.- (art. 428 al. 1 CPP et 13 al. 1 du Règlement fixant le tarif des frais en matière pénale, RTFMP ; E 4 10.03). Ce montant sera prélevé sur les sûretés versées. Corrélativement, aucun dépens ne leur sera octroyé.</w:t>
      </w:r>
    </w:p>
    <w:p>
      <w:r>
        <w:rPr>
          <w:b/>
        </w:rPr>
        <w:t>E. 5.1</w:t>
      </w:r>
    </w:p>
    <w:p>
      <w:r>
        <w:t>E______, prévenue, qui concluait à l’irrecevabilité du recours, respectivement à son rejet, obtient gain de cause, de sorte qu'il y a lieu de lui octroyer une indemnité pour les dépenses occasionnées par l'exercice raisonnable de ses droits de procédure, comme le prévoit l'art. 429 al. 1 let. a CPP, par renvoi de l'art. 436 al. 1 CPP.</w:t>
      </w:r>
    </w:p>
    <w:p>
      <w:r>
        <w:t>- 13/15 - P/1754/2020</w:t>
      </w:r>
    </w:p>
    <w:p>
      <w:r>
        <w:t>L'ampleur de l'activité alléguée et le montant articulé apparaissent à cet égard adéquats et conformes aux principes légaux et jurisprudentiels en la matière, de sorte que l'indemnité de CHF 432.40 TTC réclamée lui sera allouée.</w:t>
      </w:r>
    </w:p>
    <w:p>
      <w:r>
        <w:rPr>
          <w:b/>
        </w:rPr>
        <w:t>E. 5.2</w:t>
      </w:r>
    </w:p>
    <w:p>
      <w:r>
        <w:t>G______, prévenu, qui concluait au rejet du recours, obtient gain de cause, de sorte qu'il y a lieu de lui octroyer une indemnité pour les dépenses occasionnées par l'exercice raisonnable de ses droits de procédure, comme le prévoit l'art. 429 al. 1 let. a CPP, par renvoi de l'art. 436 al. 1 CPP.</w:t>
      </w:r>
    </w:p>
    <w:p>
      <w:r>
        <w:t>Quand bien même il n’a pas chiffré ses prétentions, il lui sera alloué, à ce titre, ex aequo et bono, une somme de CHF 400.-, hors TVA, vu son domicile à l'étranger (AT 141 IV 344 consid. 4.1), l'autorité pénale devant examiner d'office cette question (art. 429 al. 2 CPP).</w:t>
      </w:r>
    </w:p>
    <w:p>
      <w:r>
        <w:rPr>
          <w:b/>
        </w:rPr>
        <w:t>E. 5.3</w:t>
      </w:r>
    </w:p>
    <w:p>
      <w:r>
        <w:t>C______ SA, tiers participant à la procédure, a également conclu au rejet du recours et obtient ainsi gain de cause. Elle sollicite l’octroi d’une indemnité en CHF 7'506.80 pour les dépenses occasionnées par la procédure de recours, correspondant à 1h00 d’activité pour la prise de connaissance du recours, 13h00 pour la rédaction de ses observations, 0h05 pour leur impression, 0h27 pour la réception des observations des recourants et des intimés et 0h42 pour la rédaction de sa duplique, au tarif horaire de CHF 400.-, TVA en sus (art. 434 al. 1 CPP, applicable à la procédure de recours par renvoi de l'art. 436 al. 1 CPP).</w:t>
      </w:r>
    </w:p>
    <w:p>
      <w:r>
        <w:t>Ce montant apparaît toutefois excessif et sera ramené à CHF 2'162.- correspondant à 5h00 d'activité, au tarif horaire de CHF 400.-, lequel apparaît adéquat au vu des arguments développés à l’appui des écritures de C______ SA, TVA à 8.1% comprise.</w:t>
      </w:r>
    </w:p>
    <w:p>
      <w:r>
        <w:rPr>
          <w:b/>
        </w:rPr>
        <w:t>E. 5.4</w:t>
      </w:r>
    </w:p>
    <w:p>
      <w:r>
        <w:t>I______, tiers participant à la procédure, a également conclu à l’octroi de dépens. Dans la mesure toutefois où il ne les a ni chiffrés ni, a fortiori, justifiés, conformément aux exigences de l'art. 433 al. 2 CPP, applicable par analogie en instance de recours (art. 434 al. 1 et 436 al. 1 CPP), il ne lui en sera point alloué.</w:t>
      </w:r>
    </w:p>
    <w:p>
      <w:r>
        <w:rPr>
          <w:b/>
        </w:rPr>
        <w:t>E. 5.5</w:t>
      </w:r>
    </w:p>
    <w:p>
      <w:r>
        <w:t>Ces indemnités seront mises à la charge des recourants, conjointement et solidairement, cette solution étant conforme au système élaboré par le législateur et rejoignant l'approche prévue en matière de frais de recours, lesquels sont à la charge de la partie qui succombe (ATF 139 IV 45 consid. 1.2; art. 436 al. 1 CPP). * * * * *</w:t>
      </w:r>
    </w:p>
    <w:p>
      <w:r>
        <w:t>- 14/15 -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