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ACPR/946/2024 vom 18. November 2024</w:t>
      </w:r>
    </w:p>
    <w:p>
      <w:r>
        <w:t>GE Cour de justice, 2024-11-18, FR</w:t>
      </w:r>
    </w:p>
    <w:p>
      <w:r>
        <w:rPr>
          <w:b/>
        </w:rPr>
        <w:t xml:space="preserve">Quelle: </w:t>
      </w:r>
      <w:r>
        <w:t>https://mcp.opencaselaw.ch/entscheid/ge_gerichte_ACPR_946_2024</w:t>
      </w:r>
    </w:p>
    <w:p>
      <w:r>
        <w:t>FR: GE_GERICHTE ACPR/946/2024 du 18 novembre 2024</w:t>
      </w:r>
    </w:p>
    <w:p>
      <w:r>
        <w:t>IT: GE_GERICHTE ACPR/946/2024 del 18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- 11/18 - P/28133/2023</w:t>
      </w:r>
    </w:p>
    <w:p>
      <w:r>
        <w:rPr>
          <w:b/>
        </w:rPr>
        <w:t>E. 2</w:t>
      </w:r>
    </w:p>
    <w:p>
      <w:r>
        <w:t>Le recourant ne conteste pas les charges retenues contre lui, de sorte qu'il n'y a pas à s'y attarder, mais à renvoyer, en tant que de besoin, à la motivation adoptée par le premier juge sur ce point (art. 82 al. 4 CPP; ACPR/747/2020 du 22 octobre 2020 consid. 2 et les références).</w:t>
      </w:r>
    </w:p>
    <w:p>
      <w:r>
        <w:rPr>
          <w:b/>
        </w:rPr>
        <w:t>E. 3</w:t>
      </w:r>
    </w:p>
    <w:p>
      <w:r>
        <w:t>Le recourant conteste le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est à bout touchant, un avis de prochaine clôture ayant été rendu. Les seuls actes d'instruction annoncés résident dans une nouvelle audition de la plaignante en janvier, la reddition prochaine de l'expertise psychiatrique et l'éventuelle audition des experts, le Ministère public ayant d'ores et déjà indiqué vouloir renvoyer le prévenu et sa fille, co-prévenue, en jugement. Si ces actes ne sont pas susceptibles d'être entravés par la libération du prévenu, étant relevé que la plaignante a déjà été entendue et confrontée au recourant, il subsiste néanmoins un risque que l'intéressé use de pressions à l'encontre de cette dernière, qu'il juge inadéquate et dangereuse pour leur fils, ou tente de l'influencer afin qu'elle retire sa plainte pénale et qu'il puisse ainsi faire triompher son point de vue pour obtenir, seul, les droits parentaux et la garde sur D______. Si I______ a, quant à elle, déjà été entendue, le recourant a démontré, par son comportement lors de l'audience du 27 septembre 2024, ses écrits destinés à sa fille retrouvés dans sa cellule, et plus récemment, son courrier du 21 novembre 2024, vouloir instruire la prénommée sur la stratégie à adopter envers les autorités et, partant, altérer la manifestation de la vérité. On rappellera, à l'instar du premier juge, que la précitée a apporté à son père un soutien logistique pour l'achat de ses billets d'avion et financier ainsi que dans le cadre de ses contacts avec les autorités en lien avec l'enfant, apparaissant également comme la personne de contact auprès de l'ancienne logopédiste et de l'enseignante du mineur, étant précisé qu'elle a immédiatement cherché à vouloir</w:t>
      </w:r>
    </w:p>
    <w:p>
      <w:r>
        <w:t>- 12/18 - P/28133/2023 rencontrer celui-ci dès son retour en Suisse. En cas de libération du recourant, la connivence de ce dernier avec sa fille n'en serait que davantage facilitée. Enfin, il existe un risque que le recourant, s'il était libéré, ne cherche à contacter l'enfant, directement ou par le biais de sa fille, l'influence et interfère ainsi dans la recherche de la vérité. Partant, le risque de collusion doit être confirmé. Une interdiction de contact vis-à-vis de la plaignante et de I______ apparait insuffisante au regard de l'acuité du risque constaté. Une telle mesure serait en outre particulièrement difficile à contrôler, s'agissant de la seconde nommée, vu sa loyauté envers le recourant. Une surveillance des relations personnelles entre le recourant et son fils, à supposer qu'elle puisse être instaurée, ne pourrait le cas échéant pallier le risque de collusion qu'entre eux et ne serait dès lors pas suffisante à la lumière de ce qui précède.</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certes le recourant réside depuis de très nombreuses années en Suisse, où vit une partie de sa famille, et est titulaire d'un permis C. Ressortissant marocain, il a également plusieurs membres de sa famille dont sa mère, ses sœurs et son frère, au Maroc, pays dans lequel il a, du jour au lendemain, en décembre 2023 emmené son fils mineur dans le but affiché de le soustraire à la garde de sa mère et qu'il y soit élevé par sa famille marocaine.</w:t>
      </w:r>
    </w:p>
    <w:p>
      <w:r>
        <w:t>Quand bien même le recourant est revenu, seul, en Suisse, à mi-janvier 2024, il est à craindre, s'il était libéré, qu'il se rende de nouveau au Maroc avec son fils, y demeure cette fois avec lui et se soustraie ainsi à la justice suisse, étant précisé que le Maroc n'extrade pas ses ressortissants. Il perçoit une rente AI, est séparé de la plaignante et ses enfants en Suisse sont majeurs, de sorte que rien, en définitive, ne le retient dans notre pays. C'est donc à bon droit que le TMC a retenu un risque de fuite.</w:t>
      </w:r>
    </w:p>
    <w:p>
      <w:r>
        <w:t>- 13/18 - P/28133/2023 Les mesures de substitution proposées par le recourant apparaissent clairement insuffisantes pour pallier ce risque. Le dépôt de ses papiers d'identité ne l'empêcherait pas de quitter la Suisse par voie terrestre pour ensuite rejoindre le Maroc à travers l'Europe, étant relevé qu'il a pu, au moment de son départ de Suisse avec l'enfant puis alors que celui-ci séjournait au Maroc, compter sur l'appui logistique et financier de membres de sa famille. La présentation régulière à un poste de police et l'obligation de déférer à toute convocation du Pouvoir judiciaire, en tant qu'elles ne permettraient pas d'empêcher la fuite mais tout au plus de la constater a posteriori, n'offrent pas non plus de garantie suffisante, tout comme une éventuelle assignation à résidence. Quant à l'engagement de ne pas quitter la Suisse, il ne constituerait pas un palliatif suffisant, compte tenu de la volonté affichée du recourant de ne pas collaborer et de sa détermination à ne pas vouloir laisser la garde de l'enfant à sa mère, qu'il estime dangereuse pour lui.</w:t>
      </w:r>
    </w:p>
    <w:p>
      <w:r>
        <w:rPr>
          <w:b/>
        </w:rPr>
        <w:t>E. 5</w:t>
      </w:r>
    </w:p>
    <w:p>
      <w:r>
        <w:t>Le recourant estime que les conditions pour un risque de réitération ne sont pas remplies.</w:t>
      </w:r>
    </w:p>
    <w:p>
      <w:r>
        <w:rPr>
          <w:b/>
        </w:rPr>
        <w:t>E. 5.1</w:t>
      </w:r>
    </w:p>
    <w:p>
      <w:r>
        <w:t>L'art. 221 al. 1 let. c CPP, relatif au risque de récidive (simple), dans sa nouvelle teneur au 1er janvier 2024 (RO 2023 468), présuppose désormais : premièrement, que le prévenu doit déjà avoir commis des infractions du même genre, et il doit s'agir de crimes ou de délits graves; deuxièmement, la sécurité d'autrui doit être sérieusement et de manière imminente compromise; troisièmement, une réitération doit, sur la base d'un pronostic, être sérieusement à craindre (ATF 146 IV 136 consid. 2.2; 143 IV 9 consid. 2.5). La jurisprudence établie par le Tribunal fédéral sous l'ancien droit, à savoir l'art. 221 al. 1 let. c aCPP dans sa teneur en vigueur jusqu'au 31 décembre 2023 (RO 2010 1881), est pour l'essentiel transposable au nouveau droit (ATF 150 IV 149 consid. 3; cf. aussi arrêt du Tribunal fédéral 7B_270/2024 du 2 avril 2024 consid. 4.2.2).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143 IV 9 consid. 2.3.1).</w:t>
      </w:r>
    </w:p>
    <w:p>
      <w:r>
        <w:t>- 14/18 - P/28133/2023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146 IV 136 consid. 2.2; 143 IV 9 consid. 2.9).</w:t>
      </w:r>
    </w:p>
    <w:p>
      <w:r>
        <w:rPr>
          <w:b/>
        </w:rPr>
        <w:t>E. 5.2</w:t>
      </w:r>
    </w:p>
    <w:p>
      <w:r>
        <w:t>Le nouvel art. 221 al. 1bis CPP prévoit pour sa part un risque de récidive qualifié par rapport à l'art. 221 al. 1 let. c CPP, introduit dans le but de compenser la renonciation à l'exigence d'infractions préalables à celle(s) qui fonde(nt) la mise en détention provisoire; cela étant, ce motif exceptionnel de détention ne peut être envisagé qu'aux conditions strictes, cumulatives, énumérées aux let. a et b de l'art. 221 al. 1bis CPP. La notion de crime grave au sens de l'art. 221 al. 1bis let. b CPP se rapporte aux biens juridiques protégés cités à l'art. 221 al. 1bis let. a CPP, à savoir l'intégrité physique, psychique et sexuelle d'autrui; la notion de crime est définie à l'art. 10 al. 2 CP : il s'agit donc des infractions passibles d'une peine privative de liberté de plus de trois ans (cf. ATF 150 IV 360 consid. 3.2.3).</w:t>
      </w:r>
    </w:p>
    <w:p>
      <w:r>
        <w:rPr>
          <w:b/>
        </w:rPr>
        <w:t>E. 5.3</w:t>
      </w:r>
    </w:p>
    <w:p>
      <w:r>
        <w:t>L'art. 221 al. 2 CPP permet d'ordonner la détention lorsqu'il y a lieu de craindre un passage à l'acte, même en l'absence de toute infraction préalable. Il doit s'agir d'un crime grave et non seulement d'un délit (ATF 137 IV 122 consid. 5.2).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137 IV 122 consid. 5.2). Plus l'infraction redoutée est grave, plus la mise en détention se justifie lorsque les éléments disponibles ne permettent pas une évaluation précise de ce risque (ATF 140 IV 19 consid. 2.1.1; arrêt du Tribunal fédéral 1B_184/2019 du 9 mai 2019 consid. 6.1).</w:t>
      </w:r>
    </w:p>
    <w:p>
      <w:r>
        <w:rPr>
          <w:b/>
        </w:rPr>
        <w:t>E. 5.4</w:t>
      </w:r>
    </w:p>
    <w:p>
      <w:r>
        <w:t>En l'espèce, le recourant n'a pas d'antécédent judiciaire, hormis une condamnation pour injure en 2020. Les infractions qui lui sont principalement reprochées ici (art. 219 et 220 CP) sont par ailleurs des délits, soit des infractions passibles au maximum d'une peine privative de liberté de trois ans (art. 10 al. 3 CP). Ce nonobstant, le recourant est soupçonné d'avoir, début décembre 2023, du jour au lendemain, déscolarisé son fils – lequel souffre de problèmes de santé et nécessite l'aide d'un logopédiste pour des problèmes de langage – et l'avoir emmené avec lui au Maroc, aux fins de le soustraire à la garde de sa mère, coupant ensuite tout contact avec les autorités. Le recourant est revenu en Suisse à mi-janvier 2024, sans le mineur, qu'il avait laissé sur place auprès de sa propre famille. Il a ensuite refusé de collaborer</w:t>
      </w:r>
    </w:p>
    <w:p>
      <w:r>
        <w:t>- 15/18 - P/28133/2023 avec les autorités au retour de l'enfant, soutenant unilatéralement que la plaignante serait une mauvaise mère et que son fils serait en danger auprès d'elle. Le recourant ne conteste pas ces faits et apparaît, comme on l'a vu, déterminé à faire en sorte que tout lien entre le mineur et sa mère soit coupé. Dans ce contexte, on peut donc craindre, à l'instar du premier juge, qu'il ne tente à nouveau de déplacer abruptement l'enfant au Maroc afin de le priver – sans doute définitivement – non seulement de tout lien avec sa mère, mais encore des soins dont il a besoin, ce qui serait de nature à aggraver la mise en danger de son développement physique et psychique. Compte tenu de l'atteinte grave à la sécurité qui en résulterait, il y a lieu d'admettre un risque de récidive simple au sens de l'art. 221 al. 1 let. c CPP. Partant, il n'y pas lieu de se pencher plus avant sur un possible risque de récidive qualifié. Aucune mesure de substitution ne saurait ici entrer en ligne de compte. Une surveillance des relations personnelles en milieu protégé ne pourrait éventuellement pallier tout danger que dans le cadre du lieu de rencontre dédié. Elle n'empêcherait pas le recourant d'avoir accès à son fils par d'autres biais ou avec l'aide de membres de sa famille en Suisse.</w:t>
      </w:r>
    </w:p>
    <w:p>
      <w:r>
        <w:rPr>
          <w:b/>
        </w:rPr>
        <w:t>E. 6</w:t>
      </w:r>
    </w:p>
    <w:p>
      <w:r>
        <w:t>Le recourant estime sa détention provisoire disproportionnée.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l'espèce, la prolongation de la détention ne repose pas (uniquement) sur l'expertise psychiatrique du recourant, mais sur tous les actes d'instruction encore utiles à l'enquête, dont la seconde audition de la plaignante, sollicitée par le recourant lui-même, étant précisé que l'instruction est à bout touchant puisqu'un avis de prochaine clôture a été rendu et que le Ministère public a annoncé la rédaction d'un acte d'accusation. Que le recourant ait escompté une reddition plus rapide de l'expertise ou une convocation plus rapide pour procéder à la nouvelle audition de la plaignante ne rend pas sa détention provisoire disproportionnée, aucune lenteur dans la conduite de l'instruction imputable au Ministère public ne ressortant du dossier.</w:t>
      </w:r>
    </w:p>
    <w:p>
      <w:r>
        <w:t>- 16/18 - P/28133/2023</w:t>
      </w:r>
    </w:p>
    <w:p>
      <w:r>
        <w:t>Le recourant soutient qu'il aura subi, à l'échéance de la prolongation fixée, un an de détention alors qu'il s'expose à une peine avec sursis, vu son absence d'antécédents.</w:t>
      </w:r>
    </w:p>
    <w:p>
      <w:r>
        <w:t>Or, comme relevé plus haut, la possibilité d'un sursis n'entre pas en ligne de compte dans l'examen de la proportionnalité de la détention provisoire.</w:t>
      </w:r>
    </w:p>
    <w:p>
      <w:r>
        <w:t>La durée de la détention provisoire subie à ce jour et à l'échéance fixée ne dépasse pas la peine concrètement encourue si les charges retenues contre le recourant devaient être confirmées par le juge du fond, étant précisé que les seules infractions aux art. 219 et 220 CP sont passibles d'une peine privative de liberté de trois ans.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sollicite l'assistance judiciaire pour le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r>
        <w:t>- 17/18 - P/28133/2023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