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ACPR/942/2019 vom 27. August 2019</w:t>
      </w:r>
    </w:p>
    <w:p>
      <w:r>
        <w:t>GE Cour de justice, 2019-08-27, FR</w:t>
      </w:r>
    </w:p>
    <w:p>
      <w:r>
        <w:rPr>
          <w:b/>
        </w:rPr>
        <w:t xml:space="preserve">Quelle: </w:t>
      </w:r>
      <w:r>
        <w:t>https://mcp.opencaselaw.ch/entscheid/ge_gerichte_ACPR_942_2019</w:t>
      </w:r>
    </w:p>
    <w:p>
      <w:r>
        <w:t>FR: GE_GERICHTE ACPR/942/2019 du 27 août 2019</w:t>
      </w:r>
    </w:p>
    <w:p>
      <w:r>
        <w:t>IT: GE_GERICHTE ACPR/942/2019 del 27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w:t>
      </w:r>
    </w:p>
    <w:p>
      <w:r>
        <w:rPr>
          <w:b/>
        </w:rPr>
        <w:t>E. 3.2</w:t>
      </w:r>
    </w:p>
    <w:p>
      <w:r>
        <w:t>En l'espèce, le recourant se limite à affirmer qu'il s'est acquitté de son dû envers ses enfants, ce qui est précisément l'objet de la P/1______/2018. Il ne conteste donc pas que les deux procédures sont étroitement liées. Dans la mesure où l'issue de ladite procédure déterminera le sort de sa plainte pour dénonciation calomnieuse, c'est à bon droit que le Ministère public a décidé de surseoir à instruire sa plainte.</w:t>
      </w:r>
    </w:p>
    <w:p>
      <w:r>
        <w:rPr>
          <w:b/>
        </w:rPr>
        <w:t>E. 4</w:t>
      </w:r>
    </w:p>
    <w:p>
      <w:r>
        <w:t>L'ordonnance de suspension querellée sera ainsi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- 4/5 - P/9122/201617486/2019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