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ACPR/941/2023 vom 8. November 2023</w:t>
      </w:r>
    </w:p>
    <w:p>
      <w:r>
        <w:t>GE Cour de justice, 2023-11-08, FR</w:t>
      </w:r>
    </w:p>
    <w:p>
      <w:r>
        <w:rPr>
          <w:b/>
        </w:rPr>
        <w:t xml:space="preserve">Quelle: </w:t>
      </w:r>
      <w:r>
        <w:t>https://mcp.opencaselaw.ch/entscheid/ge_gerichte_ACPR_941_2023</w:t>
      </w:r>
    </w:p>
    <w:p>
      <w:r>
        <w:t>FR: GE_GERICHTE ACPR/941/2023 du 8 novembre 2023</w:t>
      </w:r>
    </w:p>
    <w:p>
      <w:r>
        <w:t>IT: GE_GERICHTE ACPR/941/2023 del 8 novembre 2023</w:t>
      </w:r>
    </w:p>
    <w:p>
      <w:pPr>
        <w:pStyle w:val="Heading2"/>
      </w:pPr>
      <w:r>
        <w:t>Erwägungen</w:t>
      </w:r>
    </w:p>
    <w:p>
      <w:r>
        <w:rPr>
          <w:b/>
        </w:rPr>
        <w:t>E. 10</w:t>
      </w:r>
    </w:p>
    <w:p>
      <w:r>
        <w:t>al. 2 CP). Peu importe également que le recourant n'ait pas, par ses agissements, mis en danger l'intégrité physique d'autrui, ou estime ne pas avoir agi par métier. Il appartiendra au juge du fond d'en décider; - il en va de même en tant qu'il persiste à contester l'existence d'un risque de réitération qui pourrait, selon lui, être pallié par des mesures de substitution, notamment une interdiction formelle de se rendre dans des caves; - la Chambre de céans a relevé dans son précédent arrêt que, malgré plusieurs arrestations et remises en liberté sous mesures de substitution, depuis 2020, dont l'obligation de se soumettre à un traitement pour son addiction aux stupéfiants, à des tests d'abstinence réguliers et à une assistance de probation confiée au SPI, l'intéressé avait persisté à commettre à de réitérées reprises de nouveaux cambriolages; - au vu de l'acuité du risque, on ne voit pas quelle mesure efficace serait suffisante, étant relevé qu'une interdiction de se rendre dans des caves, en sus d'être incontrôlable, ne reposerait que sur la seule volonté de l'intéressé. En outre, les infractions reprochées n'ont pas seulement été commises dans des caves; - le recourant affirme avoir changé en détention. Sa situation personnelle reste cependant toujours précaire, compte tenu notamment de sa toxicomanie, l'intéressé n'étayant pas qu'il serait désormais sevré et qu'à sa sortie, il pourrait</w:t>
      </w:r>
    </w:p>
    <w:p>
      <w:r>
        <w:t>- 7/10 - P/14066/2019 bénéficier d'un encadrement social et de ressources financières solides pour ne pas retomber une nouvelle fois dans la délinquance, l'absence d'un fils à charge n'étant pas suffisante; -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 - en l'espèce, à suivre le recourant, sa détention provisoire ne s'est que trop éternisée à la suite de la dénonciation de D______, qui devrait finalement être classée. Sans elle, il aurait pu être renvoyé en jugement à fin juin 2023; - ce constat a posteriori n'enlève rien au fait que sous l'angle des autres infractions graves reprochées, la durée de la détention provisoire à ce stade et à son échéance n'atteint pas encore celle de la peine à laquelle le recourant pourrait concrètement s’exposer s’il était reconnu coupable de toutes les préventions pour lesquelles le Ministère public entend le renvoyer en jugement, étant rappelé qu'à teneur de la jurisprudence susvisée, l'éventualité d'un sursis n'a pas à être prise en compte; - la mise en détention provisoire d'un mois devrait ainsi permettre au Ministère public de procéder à cet ultime acte; - que le recourant prétende n'être en mesure de dénoncer les "agressions" dont il ferait l'objet en détention qu'une fois sorti ne constitue pas au demeurant un motif suffisant pour être remis en liberté; - la Chambre de céans n'a aucune compétence en matière de choix de l'établissement pénitentiaire, de sorte que la conclusion du recourant visant à ne pas être déplacé de l'Établissement de B______ vers F______ est irrecevable; - le recours s'avère ainsi infondé et doit être rejeté; - 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w:t>
      </w:r>
    </w:p>
    <w:p>
      <w:r>
        <w:t>- 8/10 - P/14066/2019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quand bien même le recourant succombe, on peut admettre que l'exercice de ce recours ne procède pas d'un abus; - l'indemnité du défenseur d'office sera fixée à la fin de la procédure (art. 135 al. 2 CPP).</w:t>
      </w:r>
    </w:p>
    <w:p>
      <w:r>
        <w:t>- 9/10 - P/14066/2019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