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ACPR/941/2020 vom 7. Dezember 2020</w:t>
      </w:r>
    </w:p>
    <w:p>
      <w:r>
        <w:t>GE Cour de justice, 2020-12-07, FR</w:t>
      </w:r>
    </w:p>
    <w:p>
      <w:r>
        <w:rPr>
          <w:b/>
        </w:rPr>
        <w:t xml:space="preserve">Quelle: </w:t>
      </w:r>
      <w:r>
        <w:t>https://mcp.opencaselaw.ch/entscheid/ge_gerichte_ACPR_941_2020</w:t>
      </w:r>
    </w:p>
    <w:p>
      <w:r>
        <w:t>FR: GE_GERICHTE ACPR/941/2020 du 7 décembre 2020</w:t>
      </w:r>
    </w:p>
    <w:p>
      <w:r>
        <w:t>IT: GE_GERICHTE ACPR/941/2020 del 7 dicembre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invoque l'insuffisance des charges.</w:t>
      </w:r>
    </w:p>
    <w:p>
      <w:r>
        <w:rPr>
          <w:b/>
        </w:rPr>
        <w:t>E. 2.1</w:t>
      </w:r>
    </w:p>
    <w:p>
      <w:r>
        <w:t>À teneur de l'art. 221 al. 1 première phrase CPP, la détention pour des motifs de sûreté ne peut être ordonnée que lorsque le prévenu est fortement soupçonné d'avoir commis un crime ou un délit. En d'autres termes, il doit exister à son égard des charges suffisantes ou des indices sérieux de culpabilité, c'est-à-dire des raisons plausibles de la soupçonner d'avoir commis une infraction. Le juge de la détention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Selon l'art. 291 al. 1 CP, celui qui contrevient à une décision d’expulsion du territoire de la Confédération ou d’un canton prononcée par une autorité compétente est puni d’une peine privative de liberté de trois ans au plus ou d’une peine pécuniaire. L'infraction prévue à l'art. 291 CP est consommée dans deux hypothèses : d'une part, lorsque l'auteur reste en Suisse après l'entrée en force de la décision, alors qu'il a l'obligation de partir, et, d'autre part, lorsqu'il y entre pendant la durée de la validité de l'expulsion (M. DUPUIS / L. MOREILLON / C. PIGUET / S. BERGER / M. MAZOU / V. RODIGARI (éds), Code pénal - Petit commentaire, 2ème éd., Bâle 2017, n. 11 ad art. 291 CP et les références citées). La rupture de ban est un délit continu ; lorsque l'auteur se trouve en Suisse, le délit est par conséquent réalisé aussi longtemps que dure le séjour illicite dans ce pays, et non uniquement lors du passage de la frontière (M. DUPUIS / L. MOREILLON / C. PIGUET / S. BERGER /</w:t>
      </w:r>
    </w:p>
    <w:p>
      <w:r>
        <w:t>- 6/9 - P/22573/2020 M. MAZOU / V. RODIGARI (éds), op.cit., n. 12 ad art. 291 CP et les références citées).</w:t>
      </w:r>
    </w:p>
    <w:p>
      <w:r>
        <w:rPr>
          <w:b/>
        </w:rPr>
        <w:t>E. 2.3</w:t>
      </w:r>
    </w:p>
    <w:p>
      <w:r>
        <w:t>En l'espèce, il est constant que le prévenu fait l'objet de plusieurs décisions d'expulsion en force, la dernière, pour une durée de 15 ans, ayant été notifiée lors du jugement du 21 avril 2020, de sorte qu'il existe des soupçons suffisants que le jour de son interpellation, le 24 novembre 2020, il se trouvait en rupture de ban. Le recourant estime que l'infraction n'est pas réalisée car il n'était pas possible de prendre un vol pour l'Algérie durant la période pénale, en raison de la pandémie. Il oublie cependant que la décision d'expulsion se définit comme l'ordre donné, par une autorité compétente, à un étranger de quitter le territoire suisse, lié à l'interdiction d'y entrer à nouveau pendant la durée de l'expulsion (arrêt du Tribunal fédéral 6B_559/2008 du 12 septembre 2008 consid. 2.2). En l'occurrence, il existe des éléments suffisants permettant de penser que le recourant était en mesure de quitter la Suisse, en novembre 2020, pour se rendre dans un autre pays, comme il l'a d'ailleurs lui-même évoqué. Ses objections pourront donc être soulevées devant le juge du fond, les charges étant à ce stade toujours suffisantes, au sens de l'art. 221 al. 1 CPP, nonobstant l'éventuelle suspension des vols pour l'Algérie durant la période pénale.</w:t>
      </w:r>
    </w:p>
    <w:p>
      <w:r>
        <w:rPr>
          <w:b/>
        </w:rPr>
        <w:t>E. 3</w:t>
      </w:r>
    </w:p>
    <w:p>
      <w:r>
        <w:t>Le recourant conteste l'existence d'un risque de fuite.</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 Une plongée dans la clandestinité en Suisse participe du risque de fuite (ATF 143 IV 160 consid. 4.3 p. 167).</w:t>
      </w:r>
    </w:p>
    <w:p>
      <w:r>
        <w:rPr>
          <w:b/>
        </w:rPr>
        <w:t>E. 3.2</w:t>
      </w:r>
    </w:p>
    <w:p>
      <w:r>
        <w:t>En l'occurrence, si le recourant n'a certes pas quitté le territoire suisse nonobstant les décisions d'expulsion, la situation se présente désormais sous un jour différent, puisqu'il a nouvellement été arrêté pour rupture de ban et est renvoyé en jugement pour cette infraction, pour laquelle le Ministère public requiert une peine privative de liberté de 6 mois. Il existe ainsi un risque concret que, remis en liberté, il ne choisisse de disparaître dans la nature pour se soustraire à une nouvelle condamnation, étant relevé qu'il s'est engagé, devant le Ministère public, à partir en cas de libération.</w:t>
      </w:r>
    </w:p>
    <w:p>
      <w:r>
        <w:t>- 7/9 - P/22573/2020 Le recourant oppose l'existence d'attaches à Genève, mais force est de constater qu'il ne fournit aucun élément concret permettant d'identifier la "femme" qui serait sa compagne. Il ne vit quoi qu'il en soit pas avec cette personne et aucun membre de sa famille ne vit en Suisse, où il dit résider dans un foyer, sans être au bénéfice d'un travail. Une disparition dans la clandestinité en Suisse reste donc concrètement possible.</w:t>
      </w:r>
    </w:p>
    <w:p>
      <w:r>
        <w:rPr>
          <w:b/>
        </w:rPr>
        <w:t>E. 4</w:t>
      </w:r>
    </w:p>
    <w:p>
      <w:r>
        <w:t>Le risque de fuite étant suffisant à faire échec au recours, point n'est besoin d'examiner si le risque de réitération a été retenu à bon escient (arrêt du Tribunal fédéral 1B_322/2019 du 17 juillet 2019 consid. 3.3 et la jurisprudence citée).</w:t>
      </w:r>
    </w:p>
    <w:p>
      <w:r>
        <w:rPr>
          <w:b/>
        </w:rPr>
        <w:t>E. 5</w:t>
      </w:r>
    </w:p>
    <w:p>
      <w:r>
        <w:t>Le recourant estime qu'une assignation à résidence, avec obligation de se présenter à un service administratif, serait de nature à pallier le risque de fuite.</w:t>
      </w:r>
    </w:p>
    <w:p>
      <w:r>
        <w:rPr>
          <w:b/>
        </w:rPr>
        <w:t>E. 5.1</w:t>
      </w:r>
    </w:p>
    <w:p>
      <w:r>
        <w:t>L'art. 237 al. 1 CPP prévoit que le tribunal compétent ordonne une ou plusieurs mesures moins sévères en lieu et place de la détention si ces mesures permettent d'atteindre le même but que la détention, par exemple l'assignation à résidence (let. c) et l'obligation de se présenter régulièrement à un service administratif (let. d).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w:t>
      </w:r>
    </w:p>
    <w:p>
      <w:r>
        <w:rPr>
          <w:b/>
        </w:rPr>
        <w:t>E. 5.2</w:t>
      </w:r>
    </w:p>
    <w:p>
      <w:r>
        <w:t>En l'espèce, l'assignation à résidence, même cumulée à l'obligation de se présenter à un service administratif, ne paraît pas suffisante, compte tenu de la situation personnelle du recourant, à pallier le risque de fuite. Cette mesure, qui reposerait sur la seule volonté du prévenu, implique qu'on puisse lui faire confiance. Or, en l'espèce, les 18 condamnations à son casier judiciaire, dont certaines sont très récentes, principalement pour des infractions au patrimoine, permettent de douter que le recourant, qui n'a pas de travail et dont on ignore les revenus, respectera sponte sua l'interdiction qui lui serait faite de quitter le foyer J______. Il s'ensuit qu'aucune mesure de substitution n'est apte à pallier le risque retenu.</w:t>
      </w:r>
    </w:p>
    <w:p>
      <w:r>
        <w:rPr>
          <w:b/>
        </w:rPr>
        <w:t>E. 6</w:t>
      </w:r>
    </w:p>
    <w:p>
      <w:r>
        <w:t>En revanche, la date de l’audience de jugement étant désormais connue, il n’y a pas lieu (art. 212 al. 3 CPP) de prolonger la détention au-delà des quelques jours qui pourraient, éventuellement, être nécessaires à une demande de prolongation, si la procédure devait connaître un retard imprévu (arrêt du Tribunal fédéral 1B_405/2013 du 3 décembre 2013 consid. 3.3). Le recours doit, dès lors, être admis sur ce point.</w:t>
      </w:r>
    </w:p>
    <w:p>
      <w:r>
        <w:rPr>
          <w:b/>
        </w:rPr>
        <w:t>E. 7</w:t>
      </w:r>
    </w:p>
    <w:p>
      <w:r>
        <w:t>L'ordonnance querellée sera par conséquent annulée et l'échéance de la détention pour des motifs de sûreté ramenée au 22 janvier 2021.</w:t>
      </w:r>
    </w:p>
    <w:p>
      <w:r>
        <w:t>- 8/9 - P/22573/2020</w:t>
      </w:r>
    </w:p>
    <w:p>
      <w:r>
        <w:rPr>
          <w:b/>
        </w:rPr>
        <w:t>E. 8</w:t>
      </w:r>
    </w:p>
    <w:p>
      <w:r>
        <w:t>Le recourant, qui n'obtient que partiellement gain de cause, supportera la moitié des frais envers l'État, fixés en totalité à CHF 900.-, soit CHF 450.- (art. 428 al. 1 CPP et</w:t>
      </w:r>
    </w:p>
    <w:p>
      <w:r>
        <w:rPr>
          <w:b/>
        </w:rPr>
        <w:t>E. 13</w:t>
      </w:r>
    </w:p>
    <w:p>
      <w:r>
        <w:t>al. 1 du Règlement fixant le tarif des frais en matière pénale, RTFMP ; E 4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