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ACPR/93/2025 vom 6. Dezember 2024</w:t>
      </w:r>
    </w:p>
    <w:p>
      <w:r>
        <w:t>GE Cour de justice, 2024-12-06, FR</w:t>
      </w:r>
    </w:p>
    <w:p>
      <w:r>
        <w:rPr>
          <w:b/>
        </w:rPr>
        <w:t xml:space="preserve">Quelle: </w:t>
      </w:r>
      <w:r>
        <w:t>https://mcp.opencaselaw.ch/entscheid/ge_gerichte_ACPR_93_2025</w:t>
      </w:r>
    </w:p>
    <w:p>
      <w:r>
        <w:t>FR: GE_GERICHTE ACPR/93/2025 du 6 décembre 2024</w:t>
      </w:r>
    </w:p>
    <w:p>
      <w:r>
        <w:t>IT: GE_GERICHTE ACPR/93/2025 del 6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estime avoir droit à un défenseur d'office. 2.1.1.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(arrêts du Tribunal fédéral 1B_12/2020 du 24 janvier 2020 consid. 3.1 et 1B_374/2018 du 4 septembre 2018 consid. 2.1). 2.1.2.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w:t>
      </w:r>
    </w:p>
    <w:p>
      <w:r>
        <w:t>- 5/7 - P/23631/2024 128 I 225 consid. 2.5.2; arrêt du Tribunal fédéral 6B_661/2011 consid. 4.2.3; ACPR/224/2014 du 2 mai 2014 consid. 2.2) ainsi que des mesures qui paraissent nécessaires, dans le cas particulier, pour assurer sa défense, notamment en ce qui concerne les preuves qu'il devra offrir (ATF 115 Ia 103 consid. 4; ACPR/122/2014 du</w:t>
      </w:r>
    </w:p>
    <w:p>
      <w:r>
        <w:rPr>
          <w:b/>
        </w:rPr>
        <w:t>E. 2.2</w:t>
      </w:r>
    </w:p>
    <w:p>
      <w:r>
        <w:t>En l'espèce, l'indigence de la recourante apparaît établie au vu des documents produits, ce que le Ministère public ne conteste pas en soi. Dans la mesure où la peine pécuniaire concrètement encourue par la recourante s'élève à 60 jours-amende, la cause est certes a priori de peu de gravité, au sens de l'art. 132 al. 3 CPP. Néanmoins, l'intervention d'un défenseur se justifie en l'occurrence en raison des motifs qui suivent. D'une part, la recourante conteste être à l'origine de l'incendie, de sorte qu'ensuite de son opposition, une instruction plus poussée, cas échéant comprenant la mise en œuvre d'une expertise, pourrait s'avérer nécessaire pour déterminer son éventuelle responsabilité pénale. D'autre part, la recourante étant poursuivie pour un incendie par négligence ayant causé plus de CHF 430'000.- de dégâts, les conséquences financières qui découleraient de sa responsabilité pourraient être importantes, de sorte qu'on ne saurait qualifier ici la procédure de cas bagatelle. Dans ces conditions, et étant considéré la situation personnelle de la recourante, il sied d'admettre que la cause revêt une complexité suffisante, tant en fait qu'en droit, légitimant son besoin de bénéficier d'une défense d'office (dans ce sens également, en matière d'incendie : ACPR/102/2021 du 16 février 2021 consid. 2.2.). Cela se justifie, en outre, au regard du principe de l'égalité des armes. En effet, la recourante doit, dans le cadre de la procédure diligentée, répondre aux prétentions civiles formulées par E______, compagnie d'assurance dotée de spécialistes en matière de responsabilité pénale et civile. Les conditions pour la désignation d'un défenseur d'office sont donc réalisées. 3. Me B______, constitué en faveur de la recourante dans la présente procédure, sera désigné en qualité de défenseur d'office dès le 15 novembre 2024, date du dépôt de la demande (art. 5 RAJ). 4. Fondé, le recours sera dès lors admis et l'ordonnance querellée annulée. 5. La procédure de recours contre le refus de l'octroi de l'assistance juridique ne donne pas lieu à la perception de frais (art. 20 RAJ).</w:t>
      </w:r>
    </w:p>
    <w:p>
      <w:r>
        <w:rPr>
          <w:b/>
        </w:rPr>
        <w:t>E. 6</w:t>
      </w:r>
    </w:p>
    <w:p>
      <w:r>
        <w:t>L'indemnité du défenseur d'office nouvellement désigné sera fixée à la fin de la procédure (art. 135 al. 2 CPP). * * * * *</w:t>
      </w:r>
    </w:p>
    <w:p>
      <w:r>
        <w:t>- 6/7 - P/23631/2024</w:t>
      </w:r>
    </w:p>
    <w:p>
      <w:r>
        <w:t>- 7/7 - P/23631/2024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