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ACPR/93/2022 vom 2. Juni 2021</w:t>
      </w:r>
    </w:p>
    <w:p>
      <w:r>
        <w:t>GE Cour de justice, 2021-06-02, FR</w:t>
      </w:r>
    </w:p>
    <w:p>
      <w:r>
        <w:rPr>
          <w:b/>
        </w:rPr>
        <w:t xml:space="preserve">Quelle: </w:t>
      </w:r>
      <w:r>
        <w:t>https://mcp.opencaselaw.ch/entscheid/ge_gerichte_ACPR_93_2022</w:t>
      </w:r>
    </w:p>
    <w:p>
      <w:r>
        <w:t>FR: GE_GERICHTE ACPR/93/2022 du 2 juin 2021</w:t>
      </w:r>
    </w:p>
    <w:p>
      <w:r>
        <w:t>IT: GE_GERICHTE ACPR/93/2022 del 2 giugno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de ne pas lui avoir octroyé les indemnités réclamées.</w:t>
      </w:r>
    </w:p>
    <w:p>
      <w:r>
        <w:rPr>
          <w:b/>
        </w:rPr>
        <w:t>E. 2.1</w:t>
      </w:r>
    </w:p>
    <w:p>
      <w:r>
        <w:t>En vertu de l'art. 430 al. 1 let. a CPP, l'autorité pénale peut réduire ou refuser l'indemnité ou la réparation du tort moral lorsque le prévenu a provoqué illicitement et fautivement l'ouverture de la procédure ou a rendu plus difficile la conduite de celle-ci. 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entre en ligne de compte (arrêt du Tribunal fédéral 6B_300/2012 du 10 juin 2013 consid. 2.4).</w:t>
      </w:r>
    </w:p>
    <w:p>
      <w:r>
        <w:t>- 9/16 - P/22727/2015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consid. 1 b ; ATF 116 la 162 consid. 2c). Le fait reproché doit constituer une violation claire de la norme de comportement (arrêts du Tribunal fédéral 6B_1176/2015 du 23 novembre 2016 consid. 1.1 ; 6B_203/2015 du 16 mars 2016 consid. 1.1).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La faute exigée doit s'apprécier selon des critères objectifs : il ne suffit pas que l'attitude du prévenu contrevienne à l'éthique (ATF 116 la 162 consid. 2d).</w:t>
      </w:r>
    </w:p>
    <w:p>
      <w:r>
        <w:rPr>
          <w:b/>
        </w:rPr>
        <w:t>E. 2.2</w:t>
      </w:r>
    </w:p>
    <w:p>
      <w:r>
        <w:t>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p. 357). Il est toutefois concevable d'indemniser, dans une mesure réduite, le prévenu qui doit supporter l'ensemble des frais de justice lorsque sa faute ne concerne que certains actes de procédure ou certaines phases du procès, la réduction ne pouvant concerner que l'indemnité y afférant (arrêt du Tribunal fédéral 6B_556/2017 du 15 mars 2018 consid. 2.6 et la référence citée).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(Message relatif à l'unification du droit de la procédure pénale du 21 décembre 2005, FF 2006 1057, p. 1313). Il faut identifier quels actes d'instruction ont été rendus inutiles et les dommages qu'ils ont causés. Il convient de vérifier si c'est bien au titre des infractions abandonnées par classement ou acquittement que le prévenu a droit à une indemnité. L'indemnité est due si les infractions abandonnées par le Tribunal revêtent, "globalement considérées", une certaine importance et que le canton a ordonné des actes de procédure en relation avec les accusations correspondantes. En cas d'acte à "double utilité", il y a lieu de procéder à une répartition équitable (arrêt du Tribunal fédéral 6B_187/2015 du 28 avril 2015 consid. 6.1.2 ; C. GENTON / C. PERRIER, Les prétentions du prévenu en indemnités et en réparation du tort moral, art. 429 ss CPP, in Jusletter du 13 février 2012 ; A. KUHN / Y. JEANNERET (éds), op.cit., n. 27 ad art. 429).</w:t>
      </w:r>
    </w:p>
    <w:p>
      <w:r>
        <w:t>- 10/16 - P/22727/2015</w:t>
      </w:r>
    </w:p>
    <w:p>
      <w:r>
        <w:rPr>
          <w:b/>
        </w:rPr>
        <w:t>E. 2.3</w:t>
      </w:r>
    </w:p>
    <w:p>
      <w:r>
        <w:t>En l'espèce, le Ministère public a statué sur le sort des frais dans l'ordonnance pénale qu'il a rendue parallèlement, mettant ceux-ci intégralement à la charge du prévenu. On comprend de ses observations que, les faits instruits formant un tout, il a jugé préférable de n'imputer les frais de la procédure qu'à l'infraction pour laquelle le recourant est renvoyé en jugement Il n'en demeure pas moins que, en principe, conformément à la jurisprudence sus- rappelée, lorsque le prévenu n'est pas condamné aux frais de la procédure pour le chef d'accusation dont il est libéré, il peut prétendre à être indemnisé pour son dommage en lien avec l'infraction ayant fait l'objet d'un classement. En l'occurrence, l'instruction dirigée contre le recourant a été formellement ouverte en 2015 ensuite de découvertes fortuites découlant d'actes d'enquête effectués dans une procédure distincte, étant précisé que des signalements antérieurs avaient déjà été portés à la connaissance des autorités. La perquisition ordonnée le 28 avril 2016, simultanément à son arrestation et à celle de ses coprévenus, a permis de découvrir chez lui d'importantes sommes d'argent liquide, vraisemblablement à l'abri des autorités fiscales, ainsi que des documents en lien avec des procédures ouvertes à l'OCPM qu'il a admis avoir fautivement emportés. L'autorité administrative a retenu que le recourant avait gravement violé ses devoirs de fonction en adoptant de tels comportements, lesquels commandaient sa révocation. Ces agissements fautifs violant des normes de comportement sous l'angle du droit administratif, étaient de nature à renforcer les soupçons de corruption passive et ont motivé tant l'ouverture de l'instruction que les actes d'enquête ordonnés pour instruire les faits liés à cette infraction. Dès lors, le Ministère public pouvait, même s'il n'a pas imputé de frais à la charge du prévenu dans l'ordonnance de classement partiel, retenir que le recourant avait causé fautivement et illicitement l'ouverture de l'instruction pour les faits finalement classés. Il était fondé à appliquer l'art. 430 CPP, les violations susmentionnées étant en lien de causalité avec les préjudices que le recourant invoque.</w:t>
      </w:r>
    </w:p>
    <w:p>
      <w:r>
        <w:rPr>
          <w:b/>
        </w:rPr>
        <w:t>E. 3</w:t>
      </w:r>
    </w:p>
    <w:p>
      <w:r>
        <w:t>En tout état, les prétentions réclamées sont infondées pour les motifs exposés ci- dessous.</w:t>
      </w:r>
    </w:p>
    <w:p>
      <w:r>
        <w:rPr>
          <w:b/>
        </w:rPr>
        <w:t>E. 3.1</w:t>
      </w:r>
    </w:p>
    <w:p>
      <w:r>
        <w:t>L'art. 429 CPP fonde un droit à des dommages et intérêts et à une réparation du tort moral résultant d'une responsabilité causale de l'État. La responsabilité est encourue même si aucune faute n'est imputable aux autorités. L'État doit réparer la totalité du dommage qui présente un lien de causalité avec la procédure pénale, au sens du droit de la responsabilité civile (ATF 142 IV 237 consid. 1.3.1 p. 239). Le lien de causalité s'apprécie selon les principes de la causalité naturelle et adéquate et selon le degré de la haute vraisemblance (arrêt du Tribunal fédéral 6B_928/2014</w:t>
      </w:r>
    </w:p>
    <w:p>
      <w:r>
        <w:t>- 11/16 - P/22727/2015 du 10 mars 2016 consid. 2, non publié in ATF 142 IV 163 et la référence citée). Un fait est la cause naturelle d'un résultat dommageable s'il en constitue l'une des conditions sine qua non; il n'est pas nécessaire que l'événement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 (arrêt du Tribunal fédéral 6B_1180/2019 du 17 février 2020 consid. 3.1). Le rapport de causalité adéquate est interrompu lorsqu’en sus d’une cause en elle- même adéquate une autre cause survient, laquelle produit un tel effet que la première ne paraît plus, après examen, juridiquement pertinente. L’intensité des deux causes est déterminante (ATF 130 III 182, JdT 2005 I 3, SJ 2004 p. 449 c. 5.4 avec les réf. cit.). Le comportement d’un tiers n’est propre à rompre le lien de causalité adéquate que si la cause additionnelle s’écarte du cours normal des choses ou est absurde au point que l’on ne pouvait compter avec sa survenance (ATF 116 II 519, JdT 1991 I 634 c. 4b avec les réf. cit.).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une telle conséquence demeure dans le champ raisonnable des possibilités objectivement prévisibles (ATF 129 II 312 consid. 3.3 p. 318 et les arrêts cités). Le Tribunal fédéral a jugé que lorsque l'employeur prononce le licenciement de l'employé sans attendre l'issue de la procédure pénale, le lien de causalité adéquate est rompu, de telle sorte que le refus de l'indemnité était justifié (ATF 142 IV 237 consid. 1.4).</w:t>
      </w:r>
    </w:p>
    <w:p>
      <w:r>
        <w:rPr>
          <w:b/>
        </w:rPr>
        <w:t>E. 3.2</w:t>
      </w:r>
    </w:p>
    <w:p>
      <w:r>
        <w:t>Selon l'art. 429 al. 1 let. b CPP, le prévenu au bénéfice d'une ordonnance de classement a le droit d'obtenir une indemnité pour le dommage économique subi au titre de sa participation obligatoire à la procédure pénale. 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6B_814/2017 du 9 mars 2018 consid. 1.1.1; 6B_928/2014 du 10 mars 2016 consid. 4.1.1 non publié aux ATF 142 IV 163 et les références citées).</w:t>
      </w:r>
    </w:p>
    <w:p>
      <w:r>
        <w:rPr>
          <w:b/>
        </w:rPr>
        <w:t>E. 3.3</w:t>
      </w:r>
    </w:p>
    <w:p>
      <w:r>
        <w:t>Selon l'art. 429 al. 1 let. c CPP, si le prévenu bénéficie d'une ordonnance de classement, il a droit à une réparation du tort moral subi en raison d'une atteinte particulièrement grave à sa personnalité, notamment en cas de privation de liberté.</w:t>
      </w:r>
    </w:p>
    <w:p>
      <w:r>
        <w:t>- 12/16 - P/22727/2015 L'intensité de l'atteinte à la personnalité doit être analogue à celle requise dans le contexte de l'art. 49 CO (ATF 143 IV 339 consid. 3.1 ; arrêts du Tribunal fédéral 6B_740/2016 du 2 juin 2017 consid. 3.2 ; 6B_928/2014 du 10 mars 2016 consid. 5.1, non publié in ATF 142 IV 163).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À teneur de l'art. 51 1ère phrase CP, le juge impute sur la peine la détention avant jugement subie par l'auteur dans le cadre de l'affaire qui vient d'être jugée ou d'une autre procédure, un jour de détention correspondant à un jour-amende. Il découle de cette disposition qu'une peine privative de liberté doit, si possible, être compensée avec la privation de liberté déjà intervenue, même dans une autre procédure, pour autant que cela soit possible (ATF 133 IV 150 consid. 5.1 p. 154 s.). L'atteinte à la liberté personnelle que représente la privation de liberté avant jugement est un préjudice qui trouve sa réparation dans l'imputation de la durée de celle-ci sur la peine prononcée ou, en cas d'acquittement, dans une indemnité (ATF 117 IV 404 consid. 2a p. 407; 113 IV 118 consid. 2b p. 121). A fortiori doit-il en aller de même quand la privation de liberté a été subie dans la même procédure que celle dont est issue la condamnation prononcée, mais pour une autre prévention (ACPR/409/2013 du 29 août 2013 consid. 3.1). En d'autres termes, la question de l'indemnisation d'une détention injustifiée ne se pose donc, en principe, que si une imputation suffisante de cette détention sur une autre sanction, au sens de l'art. 51 CP, n'est plus possible. Tel est le cas lorsque le nombre de jours de détention dépasse celui des jours-amende prononcés (arrêt 6B_558/2013 du 13 décembre 2013 consid. 1.6 in fine). L'indemnisation financière est ainsi subsidiaire à l'imputation, et le prévenu n'a pas le droit de choisir entre l'une ou l'autre (ATF 141 IV 236 consid. 3.3 p. 239; arrêt du Tribunal fédéral 6B_84/2014 du 13 août 2014 consid. 5.1).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w:t>
      </w:r>
    </w:p>
    <w:p>
      <w:r>
        <w:t>- 13/16 - P/22727/2015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arrêts du Tribunal fédéral 6B_740/2016 du 2 juin 2017 consid. 3.2 ; 6B_671/2016 du 17 mai 2017 consid. 2.1 ; 6B_118/2016 du 20 mars 2017 consid. 6.1 ; 6B_928/2014 du 10 mars 2016 consid. 5.1 non publié in ATF 142 IV 163). La gravité objective de l'atteinte doit être ressentie par le prévenu comme une souffrance morale. Pour apprécier cette souffrance, le juge se fondera sur la réaction de l'homme moyen dans un cas pareil, présentant les mêmes circonstances (ATF 128 IV 53 consid. 7a p. 71). Il incombe au prévenu de faire état des circonstances qui font qu'il a ressenti l'atteinte comme étant subjectivement grave (ATF 120 II 97 consid. 2b p. 99). La fixation du tort moral procède d'une appréciation des circonstances et l'autorité compétente bénéficie d'un large pouvoir d'appréciation en la matière (arrêt du Tribunal fédéral 6B_928/2014 précité ; ATF 130 III 699 consid. 5.1 p. 705).</w:t>
      </w:r>
    </w:p>
    <w:p>
      <w:r>
        <w:rPr>
          <w:b/>
        </w:rPr>
        <w:t>E. 3.4</w:t>
      </w:r>
    </w:p>
    <w:p>
      <w:r>
        <w:t>La preuve de l'existence du dommage, son ampleur et sa relation de causalité adéquate avec la poursuite pénale introduite à tort incombent au requérant (ATF 135 IV 43 consid. 4.1 p. 47 ; 117 IV 209 consid. 4b p. 218 ; arrêt du Tribunal fédéral 6B_596/2007 du 11 mars 2008 consid. 2.2).</w:t>
      </w:r>
    </w:p>
    <w:p>
      <w:r>
        <w:rPr>
          <w:b/>
        </w:rPr>
        <w:t>E. 3.5</w:t>
      </w:r>
    </w:p>
    <w:p>
      <w:r>
        <w:t>En premier lieu, c'est à bon droit que le Ministère public a refusé d'indemniser le recourant en raison de la détention provisoire et les mesures de substitution subies (CHF 70'910.- au total). L'indemnisation financière est subsidiaire à l'imputation sur la peine et le prévenu ne saurait choisir entre l'une ou l'autre. Quant à la somme de CHF 10'000.- demandée en plus, force est de retenir que, même si la procédure pénale n'avait pas été ouverte pour des faits constitutifs de corruption passive, l'enchaînement causal des évènements n'aurait pas été différent. L'arrestation à l'OCPM aurait tout de même été ordonnée – pour violation du secret de fonction – et les manquements répétés du recourant dans le cadre professionnel auraient également conduit à sa révocation. Par ailleurs, on relève que le décès de son père a également joué un rôle dans la dépréciation de sa santé mentale et que les articles de presse sur l'affaire – au demeurant anciens – ne le nomment pas. Dans ces circonstances, malgré la souffrance établie par pièces, il n'est pas possible de conclure que l'ouverture de la procédure pénale pour des faits constitutifs de corruption passive ait été, de façon prépondérante, à l'origine du tort moral invoqué. Aussi, c'est à bon droit qu'il convenait de lui refuser toute indemnité à ce titre.</w:t>
      </w:r>
    </w:p>
    <w:p>
      <w:r>
        <w:t>- 14/16 - P/22727/2015 En second lieu, le recourant sollicite une indemnité à hauteur CHF 797'025.40 correspondant à la différence entre ce qu'il aurait dû percevoir s'il n'avait pas été licencié et ce qu'il a effectivement reçu des assurances sociales. On relève d'emblée que le Conseil d'État n'a pas attendu de connaître l'issue de la procédure pénale pour prononcer la révocation – laquelle constitue au demeurant la sanction administrative la plus lourde possible en matière de fonction publique. Le dommage invoqué est consécutif à la révocation et ne découle pas de la procédure pénale ouverte pour les faits classés. Cette prétention doit lui être niée, faute de lien de causalité entre le dommage invoqué et la procédure pénale. Au vu de ce qui précède, aucune des indemnités sollicitées n'était fondée.</w:t>
      </w:r>
    </w:p>
    <w:p>
      <w:r>
        <w:rPr>
          <w:b/>
        </w:rPr>
        <w:t>E. 4</w:t>
      </w:r>
    </w:p>
    <w:p>
      <w:r>
        <w:t>Au surplus, il ne se justifie pas de suspendre la procédure dans l'attente de la décision du juge du Tribunal de police, puisque, si le recourant devait être acquitté des faits pour lesquels il est renvoyé devant cette juridiction, il appartiendrait au juge du fond de statuer sur les demandes d'indemnisation.</w:t>
      </w:r>
    </w:p>
    <w:p>
      <w:r>
        <w:rPr>
          <w:b/>
        </w:rPr>
        <w:t>E. 5</w:t>
      </w:r>
    </w:p>
    <w:p>
      <w:r>
        <w:t>Justifiée, l'ordonnance querellée sera confirmée.</w:t>
      </w:r>
    </w:p>
    <w:p>
      <w:r>
        <w:rPr>
          <w:b/>
        </w:rPr>
        <w:t>E. 6</w:t>
      </w:r>
    </w:p>
    <w:p>
      <w:r>
        <w:t>Le recourant, qui succombe, supportera les frais envers l'État, chiffrés en totalité à CHF 700.-, émolument de décision compris (art. 428 al. 1 CPP et 13 al. 1 du Règlement fixant le tarif des frais en matière pénale, RTFMP ; E 4 10.03). * * * * *</w:t>
      </w:r>
    </w:p>
    <w:p>
      <w:r>
        <w:t>- 15/16 - P/22727/2015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