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ACPR/936/2024 vom 11. Juli 2024</w:t>
      </w:r>
    </w:p>
    <w:p>
      <w:r>
        <w:t>GE Cour de justice, 2024-07-11, FR</w:t>
      </w:r>
    </w:p>
    <w:p>
      <w:r>
        <w:rPr>
          <w:b/>
        </w:rPr>
        <w:t xml:space="preserve">Quelle: </w:t>
      </w:r>
      <w:r>
        <w:t>https://mcp.opencaselaw.ch/entscheid/ge_gerichte_ACPR_936_2024</w:t>
      </w:r>
    </w:p>
    <w:p>
      <w:r>
        <w:t>FR: GE_GERICHTE ACPR/936/2024 du 11 juillet 2024</w:t>
      </w:r>
    </w:p>
    <w:p>
      <w:r>
        <w:t>IT: GE_GERICHTE ACPR/936/2024 del 11 luglio 2024</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 s'agissant d'un justiciable recourant en personne – et le délai prescrits (art. 385 al. 1 et 396 al. 1 CPP) et émaner du condamné visé par la décision querellée, qui a a priori un intérêt juridiquement protégé à son annulation (art. 382 al. 1 CPP).</w:t>
      </w:r>
    </w:p>
    <w:p>
      <w:r>
        <w:rPr>
          <w:b/>
        </w:rPr>
        <w:t>E. 2</w:t>
      </w:r>
    </w:p>
    <w:p>
      <w:r>
        <w:t>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w:t>
      </w:r>
    </w:p>
    <w:p>
      <w:r>
        <w:t>- 5/8 - PS/53/2024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2.1</w:t>
      </w:r>
    </w:p>
    <w:p>
      <w:r>
        <w:t>L'art. 66abis CP (expulsion non obligatoire) prévoit que le juge peut expulser un étranger du territoire suisse pour une durée de trois à quinze ans si, pour un crime ou un délit non visé à l’art. 66a CP, celui-ci a été condamné à une peine ou a fait l’objet d’une mesure au sens des art. 59 à 61 ou 64 CP. 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2.2</w:t>
      </w:r>
    </w:p>
    <w:p>
      <w:r>
        <w:t>Selon l'art. 66d al. 1 CP (applicable par analogie à l'expulsion non obligatoire cf. ACPR/201/2021 et les références citées),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w:t>
      </w:r>
    </w:p>
    <w:p>
      <w:r>
        <w:t>- 4/8 - PS/53/2024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w:t>
      </w:r>
    </w:p>
    <w:p>
      <w:r>
        <w:rPr>
          <w:b/>
        </w:rPr>
        <w:t>E. 2.3</w:t>
      </w:r>
    </w:p>
    <w:p>
      <w:r>
        <w:t>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2.4</w:t>
      </w:r>
    </w:p>
    <w:p>
      <w:r>
        <w:t>Selon l'art. 83 al. 1 LEI, le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8 ss). À cet égard,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 ss).</w:t>
      </w:r>
    </w:p>
    <w:p>
      <w:r>
        <w:t>- 6/8 - PS/53/2024 Enfin, en matière d’invocation de l’homosexualité, les autorités doivent examiner le risque pour le recourant lorsqu’il est avéré que l’orientation sexuelle pourrait amener des mauvais traitements dans le pays vers lequel il est expulsé (cf. ACEDH M.I c. Suisse du 12 novembre 2024, requête no 56390/21).</w:t>
      </w:r>
    </w:p>
    <w:p>
      <w:r>
        <w:rPr>
          <w:b/>
        </w:rPr>
        <w:t>E. 2.5</w:t>
      </w:r>
    </w:p>
    <w:p>
      <w:r>
        <w:t>En l'espèce, le recourant s'oppose à son expulsion au triple motif qu’il serait chrétien, homosexuel et membre d’un groupe d’opposition. Or, ces trois éléments étaient déjà existants lors du prononcé du jugement du 29 janvier 2024 du Tribunal de police, où le recourant était alors assisté d’un avocat et où il avait explicitement acquiescé à son expulsion judiciaire. L'intérêt juridique à recourir de l'intéressé contre la mise en œuvre de la mesure paraît ainsi douteux. Quoi qu'il en soit, force est de constater que les motifs allégués par le recourant semblent de pure circonstance. Il n’expose en effet aucun élément rendant ne serait- ce que plausible ses allégations. Il n’explique en particulier pas comment il a pu, tout au long de la procédure, indiquer habiter chez sa "copine", respectivement vouloir retrouver sa "compagne" enceinte, avant de subitement soutenir qu’il serait homosexuel. Il n’a en outre jamais évoqué dans la procédure, en particulier dans la procédure pénale, la problématique de sa religion ou de son appartenance à un groupe d’opposition pour s’opposer à son expulsion. Faute d’élément vraisemblable permettant de confirmer les allégués du recourant, la décision de l’OCPM est conforme au droit.</w:t>
      </w:r>
    </w:p>
    <w:p>
      <w:r>
        <w:rPr>
          <w:b/>
        </w:rPr>
        <w:t>E. 3</w:t>
      </w:r>
    </w:p>
    <w:p>
      <w:r>
        <w:t>Justifiée, la décision querellée sera donc confirmée.</w:t>
      </w:r>
    </w:p>
    <w:p>
      <w:r>
        <w:rPr>
          <w:b/>
        </w:rPr>
        <w:t>E. 4</w:t>
      </w:r>
    </w:p>
    <w:p>
      <w:r>
        <w:t>Le recourant succombe dans ses conclusions. Il supportera les frais de la procédure de recours (art. 428 al. 1 CPP), qui seront fixés en totalité à CHF 600.- (art. 13 al. 1 du Règlement fixant le tarif des frais en matière pénale, RTFMP; E 4 10.0) * * * * *</w:t>
      </w:r>
    </w:p>
    <w:p>
      <w:r>
        <w:t>- 7/8 - PS/53/2024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