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ACPR/936/2023 vom 6. November 2023</w:t>
      </w:r>
    </w:p>
    <w:p>
      <w:r>
        <w:t>GE Cour de justice, 2023-11-06, FR</w:t>
      </w:r>
    </w:p>
    <w:p>
      <w:r>
        <w:rPr>
          <w:b/>
        </w:rPr>
        <w:t xml:space="preserve">Quelle: </w:t>
      </w:r>
      <w:r>
        <w:t>https://mcp.opencaselaw.ch/entscheid/ge_gerichte_ACPR_936_2023</w:t>
      </w:r>
    </w:p>
    <w:p>
      <w:r>
        <w:t>FR: GE_GERICHTE ACPR/936/2023 du 6 novembre 2023</w:t>
      </w:r>
    </w:p>
    <w:p>
      <w:r>
        <w:t>IT: GE_GERICHTE ACPR/936/2023 del 6 novembre 2023</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t>- 13/19 - PM/687/2023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1.4</w:t>
      </w:r>
    </w:p>
    <w:p>
      <w:r>
        <w:t>Les pièces nouvelles produites par le recourant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Cela étant,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w:t>
      </w:r>
    </w:p>
    <w:p>
      <w:r>
        <w:t>- 14/19 - PM/687/2023 cadre des délits qui sont à l'origine de sa condamnation, le degré de son éventuel amendement, ainsi que les conditions dans lesquelles il est à prévoir qu'il vivra (ATF 133 IV 201 consid. 2.3 et les références citées).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4.2</w:t>
      </w:r>
    </w:p>
    <w:p>
      <w:r>
        <w:t>En l'espèce, la condition objective d'une libération conditionnelle est réalisée depuis le 22 décembre 2019. Le recourant ne fait l'objet d'aucune enquête pénale en cours et est sans autre antécédent que la condamnation pour la peine à l’origine de son incarcération. Son comportement au travail et vis-à-vis de ses codétenus est qualifié de bon, ce que confirmait déjà, au demeurant, le préavis des D______ du 25 août 2020 qu'il produit. Que le jugement entrepris ne fasse pas état de ce document, qui ne figure du reste pas au dossier soumis à la Chambre de céans, n'est ainsi pas déterminant. Il est également admis que ses deux sorties non accompagnées des 23 et 27 février 2023 se sont bien passées (tout comme celles accordées en 2021). Ce nonobstant, les préavis du SAPEM et du Ministère public sont défavorables. Le recourant ne conteste pas ses emportements colériques, qui résultaient selon lui des contraintes administratives qu'on lui ferait subir et qu'il qualifie d'"erreurs" dans sa prise en charge. Or, dans son arrêt du 16 août 2023, la Chambre de céans a rappelé que si l'on pouvait concevoir que certains aspects formels liés aux délais ou conditions prévues pour demander des congés pouvaient échapper quelque peu au recourant, le TAPEM avait à plusieurs reprises attiré son attention sur la nécessité d'observer certaines formes, ajoutant que le recourant, "qui se croit en droit de s'affranchir de certaines contraintes – formelles et organisationnelles –, demeure donc seul responsable de cette situation. Son refus systématique de se soumettre aux diverses règles inhérentes</w:t>
      </w:r>
    </w:p>
    <w:p>
      <w:r>
        <w:t>- 15/19 - PM/687/2023 au système judiciaire et carcéral dénote d'un caractère vindicatif vis-à-vis de l'autorité et d'un manque d'introspection, le précité rejetant continuellement la faute sur des tiers" (consid. 3.4.). À cela s'ajoute une recrudescence de comportements transgressifs en détention. Ainsi, entre le 8 avril et le 8 octobre 2022, le recourant a été sanctionné à cinq reprises, dont trois en septembre 2022, essentiellement pour refus de travailler mais également pour des menaces envers le personnel et violation du règlement intérieur. Le 14 mars 2023, il a été sanctionné une nouvelle fois pour menaces et insulte envers le personnel par E______, qui a demandé son transfert en urgence. F______ l'a encore sanctionné deux fois, le 5 mai 2023, pour un refus de travailler, et le 30 juin 2023, pour violation des dispositions sécuritaires de l'établissement et mise en danger des codétenus et du personnel. Le recourant n'en dit mot dans son recours, se limitant à nier tout comportement problématique à l'occasion de son hospitalisation à M______ fin mai 2023. Or, le TAPEM a précisément relevé, à sa décharge, que le courriel du 7 juillet 2023 ne l'incriminait en rien s'agissant des outils qu'il aurait fabriqués. Quant aux menaces qu'il aurait proférées, il n'en était pas tenu compte puisque rien ne les corroborait. Partant, les griefs du recourant en lien avec la position contraire du Ministère public à cet égard sont irrelevants. Force est ainsi de constater, à l'instar des premiers juges, que la situation de l'intéressé en détention n'a pas évolué favorablement depuis le dernier refus de la libération conditionnelle en juillet 2022 et s'est même grandement péjorée.</w:t>
      </w:r>
    </w:p>
    <w:p>
      <w:r>
        <w:t>Le recourant estime que c'est sans sa faute s'il n'a pas pu faire plus de sorties ou avoir plus de congés après février 2023 et être ainsi davantage évalué durant son temps libre à l'extérieur, le SAPEM ayant à tort, le 17 mars 2023, révoqué sa décision de passage en milieu ouvert. Tel n'est pas le cas. Si la Chambre de céans a certes, le 11 juillet 2023, annulé la révocation de la décision de passage en milieu ouvert du 21 mai 2019 et le placement du recourant en milieu fermé, elle a également constaté que le recourant ne remettait pas en cause, à bon droit, la révocation de la sortie du 14 mars 2023 et du congé accordé des 18 et 19 mars 2023, "dits allègements étant (…) incompatibles avec le prononcé de sanctions disciplinaires". (consid. 2.2.). Ainsi, c'est donc bien en raison des évènements survenus à E______ en mars 2023 – imputables au recourant seul et pour lesquels il a été sanctionné de huit jours de cellule de sécurité – que la sortie et le congé accordés ont été révoqués.</w:t>
      </w:r>
    </w:p>
    <w:p>
      <w:r>
        <w:t>- 16/19 - PM/687/2023 On ajoutera qu'une offre de réintégration du recourant à E______ avait été émise par l'établissement en avril 2023, moyennant certaines conditions, mais que le recourant n'y a pas donné suite, faisant ainsi échec à un rapide retour en milieu ouvert. Le recourant considère qu'une prolongation de sa détention serait délétère et aggraverait ses chances de réinsertion. Il n'appartient cependant qu'à lui de se conformer aux objectifs fixés par le PES et attendus de lui. Or, selon les préavis, il a toujours de la peine à gérer ses frustrations et sa colère ainsi qu'à se conformer aux règles établies. Les objectifs du PES visant à évaluer ses capacités d'adaptation hors du cadre pénitentiaire ne sont pas remplis en l'état, deux seuls congés ayant pu être mis en œuvre depuis le dernier examen de sa libération conditionnelle. Il dispose certes dorénavant de projets concrets à sa sortie, bénéficiant du soutien de sa famille, avec qui il a maintenu des liens durant toute sa détention et, en particulier, de son fils aîné, qui est disposé à lui offrir un emploi et un logement à sa sortie de prison. Ces éléments, certes à saluer, ne sont toutefois pas suffisants pour conclure à l'absence de pronostic défavorable, eu égard à ce qui précède et au risque de récidive violente et générale évalué comme moyen, étant rappelé les faits très graves pour lesquels il a été condamné. Enfin, dans la mesure où le recourant a montré jusqu'ici son incapacité à se soumettre aux règles, il serait illusoire d'envisager une libération conditionnelle assortie de règles de conduite ou d'un patronage. Les conditions d'une mise en liberté conditionnelle ne sont ainsi, en l'état, pas réalisées.</w:t>
      </w:r>
    </w:p>
    <w:p>
      <w:r>
        <w:rPr>
          <w:b/>
        </w:rPr>
        <w:t>E. 5</w:t>
      </w:r>
    </w:p>
    <w:p>
      <w:r>
        <w:t>L'apport des procédures sollicitées, qui contiennent une vidéo d'un membre de la famille de la victime, ne saurait modifier le raisonnement qui précède, la culpabilité du condamné n'étant pas l'objet de la présente procédure. Quant aux précédentes décisions rendues par le TAPEM, elles ne sont d'aucune utilité pour apprécier la situation actuelle, seule pertinente ici. La Chambre de céans l'avait du reste déjà rappelé au recourant dans son arrêt du 16 août 2021.</w:t>
      </w:r>
    </w:p>
    <w:p>
      <w:r>
        <w:rPr>
          <w:b/>
        </w:rPr>
        <w:t>E. 6</w:t>
      </w:r>
    </w:p>
    <w:p>
      <w:r>
        <w:t>Justifié, le jugement querellé sera donc confirmé.</w:t>
      </w:r>
    </w:p>
    <w:p>
      <w:r>
        <w:rPr>
          <w:b/>
        </w:rPr>
        <w:t>E. 7</w:t>
      </w:r>
    </w:p>
    <w:p>
      <w:r>
        <w:t>Le recourant, qui succombe, supportera les frais envers l'État, fixés en totalité à CHF 900.- (art. 428 al. 1 CPP et 13 al. 1 du Règlement fixant le tarif des frais en matière pénale, RTFMP ; E 4 10.03), étant précisé que même lorsque qu'il obtient l'assistance judiciaire, le recourant débouté peut être condamné à prendre à sa charge</w:t>
      </w:r>
    </w:p>
    <w:p>
      <w:r>
        <w:t>- 17/19 - PM/687/2023 les frais de la procédure dans la mesure de ses moyens (arrêt du Tribunal fédéral 6B_380/2013 du 16 janvier 2014, consid. 5).</w:t>
      </w:r>
    </w:p>
    <w:p>
      <w:r>
        <w:rPr>
          <w:b/>
        </w:rPr>
        <w:t>E. 8</w:t>
      </w:r>
    </w:p>
    <w:p>
      <w:r>
        <w:t>La procédure étant ici close (art. 135 al. 2 CPP), des dépens seront alloués à l'avocat d'office.</w:t>
      </w:r>
    </w:p>
    <w:p>
      <w:r>
        <w:rPr>
          <w:b/>
        </w:rPr>
        <w:t>E. 8.1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8.2</w:t>
      </w:r>
    </w:p>
    <w:p>
      <w:r>
        <w:t>En l'occurrence, l'avocat d'office a chiffré son intervention pour la procédure de recours à CHF 1'283.15. Eu égard à l'activité déployée, soit un recours de 8 pages, dont environ 4 pages de développements topiques en droit, son indemnité sera arrêtée à CHF 861,60, correspondant à quatre heures d'activité, TVA à 7.7% comprise.</w:t>
      </w:r>
    </w:p>
    <w:p>
      <w:r>
        <w:t>* * * * *</w:t>
      </w:r>
    </w:p>
    <w:p>
      <w:r>
        <w:t>- 18/19 - PM/687/2023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