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ACPR/936/2020 vom 6. Dezember 2020</w:t>
      </w:r>
    </w:p>
    <w:p>
      <w:r>
        <w:t>GE Cour de justice, 2020-12-06, FR</w:t>
      </w:r>
    </w:p>
    <w:p>
      <w:r>
        <w:rPr>
          <w:b/>
        </w:rPr>
        <w:t xml:space="preserve">Quelle: </w:t>
      </w:r>
      <w:r>
        <w:t>https://mcp.opencaselaw.ch/entscheid/ge_gerichte_ACPR_936_2020</w:t>
      </w:r>
    </w:p>
    <w:p>
      <w:r>
        <w:t>FR: GE_GERICHTE ACPR/936/2020 du 6 décembre 2020</w:t>
      </w:r>
    </w:p>
    <w:p>
      <w:r>
        <w:t>IT: GE_GERICHTE ACPR/936/2020 del 6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 son droit d'être entendu et d'une procédure inéquitable.</w:t>
      </w:r>
    </w:p>
    <w:p>
      <w:r>
        <w:rPr>
          <w:b/>
        </w:rPr>
        <w:t>E. 2.1</w:t>
      </w:r>
    </w:p>
    <w:p>
      <w:r>
        <w:t>Selon l'art. 6 § 1 1ère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2.2</w:t>
      </w:r>
    </w:p>
    <w:p>
      <w:r>
        <w:t>Tel que garanti par l'art. 29 al. 2 Cst.,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 132 II 485 consid. 3.2 p. 494 ; 127 I 54 consid. 2b p. 56).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2.3</w:t>
      </w:r>
    </w:p>
    <w:p>
      <w:r>
        <w:t>En l'espèce, on comprend du courriel adressé par le greffe du TMC à la Chambre de céans que la communication de "ce jour" mentionnée par l'ordonnance querellée est celle du 4 décembre 2020, sans qu'il soit nécessaire d'ordonner d'autres actes d'instruction.</w:t>
      </w:r>
    </w:p>
    <w:p>
      <w:r>
        <w:t>- 7/11 - P/23505/2020 En ne transmettant pas au prévenu, avant de rendre son ordonnance, la communication de B______, le TMC a violé son droit d'être entendu, violation qui a toutefois été réparée devant l'autorité de recours, laquelle jouit d'un plein pouvoir d'examen en droit, en fait et en opportunité (art. 391 al. 1 et 393 al. 2 CPP) (ATF 137 I 195 consid. 2.3.2 p. 197; arrêt du Tribunal fédéral 1B_524/2012 du 15 novembre 2012 consid. 2.1). Il n'y a donc pas lieu d'annuler l'ordonnance querellée pour ce motif. Par ailleurs, en mentionnant, par erreur, que la communication de B______ avait été reçue par le TMC "ce jour" alors qu'elle l'avait été deux jours plus tôt, le juge n'a ni apprécié arbitrairement les faits ni violé l'art. 6 § 1 CEDH. Si le prévenu l'avait reçue, il aurait d'emblée corrigé cette mention. En tout état de cause, comme déjà jugé à maintes reprises par la Chambre de céans, la situation sanitaire actuelle n'est pas, à elle seule, suffisante pour justifier la libération d'un prévenu, la prison de B______ étant équipé d'un service médical et la crainte d'une infection n'impliquant pas que le détenu serait privé de soins, si nécessaire (ACPR/708/2020 du 6 octobre 2020 consid. 7 ; ACPR/304/2020 du 13 mai 2020 consid. 5; ACPR/282/2020 du 5 mai 2020 consid. 8; ACPR/207/2020 du 18 mars 2020 consid. 5). Les mesures de quarantaine adoptées par la prison se sont révélées efficaces. Le recourant ne court donc pas plus de danger à l'intérieur qu'à l'extérieur de la prison de B______ (cf. arrêt du Tribunal fédéral 1B_169/2020 du 8 avril 2020 consid. 2.3.), preuve en est qu'il n'allègue ni n'établit être porteur de l'infection, voire malade. La procédure adoptée par le premier juge n'est donc en rien inéquitable.</w:t>
      </w:r>
    </w:p>
    <w:p>
      <w:r>
        <w:rPr>
          <w:b/>
        </w:rPr>
        <w:t>E. 3</w:t>
      </w:r>
    </w:p>
    <w:p>
      <w:r>
        <w:t>Le recourant invoque l'insuffisance des charges.</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Le juge de la détention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- 8/11 - P/23505/2020</w:t>
      </w:r>
    </w:p>
    <w:p>
      <w:r>
        <w:rPr>
          <w:b/>
        </w:rPr>
        <w:t>E. 3.2</w:t>
      </w:r>
    </w:p>
    <w:p>
      <w:r>
        <w:t>Selon l'art. 291 al. 1 CP, celui qui contrevient à une décision d’expulsion du territoire de la Confédération ou d’un canton prononcée par une autorité compétente est puni d’une peine privative de liberté de trois ans au plus ou d’une peine pécuniaire. L'infraction prévue à l'art. 291 CP est consommée dans deux hypothèses : d'une part, lorsque l'auteur reste en Suisse après l'entrée en force de la décision, alors qu'il a l'obligation de partir, et d'autre part lorsqu'il entre pendant la durée de la validité de l'expulsion (M. DUPUIS / L. MOREILLON / C. PIGUET / S. BERGER / M. MAZOU / V. RODIGARI (éds), Code pénal - Petit commentaire, 2ème éd., Bâle 2017, n. 11 ad art. 291 CP et les références citées). La rupture de ban est un délit continu ; lorsque l'auteur se trouve en Suisse, le délit est par conséquent réalisé aussi longtemps que dure le séjour illicite dans ce pays, et non uniquement lors du passage de la frontière (M. DUPUIS / L. MOREILLON / C. PIGUET / S. BERGER / M. MAZOU / V. RODIGARI (éds), op.cit., n. 12 ad art. 291 CP et les références citées).</w:t>
      </w:r>
    </w:p>
    <w:p>
      <w:r>
        <w:rPr>
          <w:b/>
        </w:rPr>
        <w:t>E. 3.3</w:t>
      </w:r>
    </w:p>
    <w:p>
      <w:r>
        <w:t>En l'espèce, il est constant que le prévenu fait l'objet de deux décisions d'expulsion en force, de sorte qu'il existe des soupçons suffisants que le jour de son interpellation, le 4 décembre 2020, il se trouvait en rupture de ban. Le recourant estime que l'infraction n'est pas réalisée car les renvois en Algérie étaient suspendus depuis mars 2020, en raison de la pandémie. Il oublie cependant que la décision d'expulsion se définit comme l'ordre donné, par une autorité compétente, à un étranger de quitter le territoire suisse, lié à l'interdiction d'y entrer à nouveau pendant la durée de l'expulsion (arrêt du Tribunal fédéral 6B_559/2008 du 12 septembre 2008 consid. 2.2). En l'occurrence, il existe des éléments suffisants permettant de penser que le recourant était en mesure de quitter la Suisse, entre mars et décembre 2020, pour se rendre dans un autre pays, par exemple l'Italie ou la France, puisqu'il déclare lui-même avoir l'intention de s'y rendre pour se marier, ou un autre des États européens dans lesquels il dit avoir vécu après son arrivée en Suisse en 2008. Ses objections pourront donc être soulevées devant le juge du fond, les charges étant à ce stade toujours suffisantes, au sens de l'art. 221 al. 1 CPP, nonobstant la suspension des renvois en Algérie durant la période pénale.</w:t>
      </w:r>
    </w:p>
    <w:p>
      <w:r>
        <w:rPr>
          <w:b/>
        </w:rPr>
        <w:t>E. 4</w:t>
      </w:r>
    </w:p>
    <w:p>
      <w:r>
        <w:t>Le recourant conteste l'existence d'un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w:t>
      </w:r>
    </w:p>
    <w:p>
      <w:r>
        <w:t>- 9/11 - P/23505/2020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En l'occurrence, si le recourant n'a certes pas quitté le territoire suisse nonobstant deux décisions d'expulsion, la situation se présente désormais sous un jour différent, puisqu'il a nouvellement été arrêté, en décembre 2020, pour rupture de ban et sera renvoyé en jugement pour cette infraction. Au vu de sa réaction lors de l'annonce de sa mise en détention provisoire, il existe un risque concret que, remis en liberté, il ne choisisse de quitter le territoire pour se soustraire à une nouvelle condamnation, étant relevé qu'il s'est d'ailleurs engagé, devant le Ministère public, à partir en cas de libération. Le recourant oppose l'existence d'attaches à Genève. Si sa "copine" a certes confirmé leur désir d'enfant et l'hypothèse d'une grossesse, celle-ci n'est nullement confirmée et le recourant déclare vivre dans la rue malgré ses liens amoureux avec la précitée. Il s'ensuit un danger de disparition dans la clandestinité en Suisse, qui est un aspect du risque de fuite (arrêt du Tribunal fédéral 1B_334/2018 du 30 juillet 2018 consid. 5.1.). Peu importe, par conséquent, que son départ, spontané ou contraint, vers l'Algérie soit compromis par la situation sanitaire actuelle.</w:t>
      </w:r>
    </w:p>
    <w:p>
      <w:r>
        <w:rPr>
          <w:b/>
        </w:rPr>
        <w:t>E. 5</w:t>
      </w:r>
    </w:p>
    <w:p>
      <w:r>
        <w:t>Le risque de fuite étant suffisant à faire échec au recours, point n'est besoin d'examiner si le risque de réitération a été retenu à bon escient (arrêt du Tribunal fédéral 1B_322/2019 du 17 juillet 2019 consid. 3.3 et la jurisprudence citée).</w:t>
      </w:r>
    </w:p>
    <w:p>
      <w:r>
        <w:rPr>
          <w:b/>
        </w:rPr>
        <w:t>E. 6</w:t>
      </w:r>
    </w:p>
    <w:p>
      <w:r>
        <w:t>Le recourant estime qu'une assignation à résidence, le cas échéant assortie du port d'un bracelet électronique, est de nature à pallier l'éventuel risque de fuite.</w:t>
      </w:r>
    </w:p>
    <w:p>
      <w:r>
        <w:rPr>
          <w:b/>
        </w:rPr>
        <w:t>E. 6.1</w:t>
      </w:r>
    </w:p>
    <w:p>
      <w:r>
        <w:t>L'art. 237 al. 1 CPP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w:t>
      </w:r>
    </w:p>
    <w:p>
      <w:r>
        <w:rPr>
          <w:b/>
        </w:rPr>
        <w:t>E. 6.2</w:t>
      </w:r>
    </w:p>
    <w:p>
      <w:r>
        <w:t>En l'espèce, l'assignation à résidence implique que le prévenu dispose d'un domicile, ce qui n'est pas le cas en l'espèce puisqu'il déclare vivre dans la rue. E______, qui a confirmé sa relation amoureuse avec le précité, n'a nullement</w:t>
      </w:r>
    </w:p>
    <w:p>
      <w:r>
        <w:t>- 10/11 - P/23505/2020 confirmé qu'elle serait disposée à l'héberger. Les conditions d'une assignation à résidence, avec ou sans bracelet, ne sont donc pas remplies.</w:t>
      </w:r>
    </w:p>
    <w:p>
      <w:r>
        <w:rPr>
          <w:b/>
        </w:rPr>
        <w:t>E. 7</w:t>
      </w:r>
    </w:p>
    <w:p>
      <w:r>
        <w:t>Sous l'angle du principe de la proportionnalité, le premier juge a correctement apprécié la situation. En état de récidive, le recourant ne paraît pas concrètement être exposé à une peine inférieure à la durée de la détention provisoire ordonnée, s'il devait être reconnu coupable des faits dont il est soupçonné.</w:t>
      </w:r>
    </w:p>
    <w:p>
      <w:r>
        <w:rPr>
          <w:b/>
        </w:rPr>
        <w:t>E. 8</w:t>
      </w:r>
    </w:p>
    <w:p>
      <w:r>
        <w:t>Le recours s'avère ainsi infondé et doit être rejeté, rendant sans fondement la demande d'indemnisation du tort moral allégué.</w:t>
      </w:r>
    </w:p>
    <w:p>
      <w:r>
        <w:rPr>
          <w:b/>
        </w:rPr>
        <w:t>E. 9</w:t>
      </w:r>
    </w:p>
    <w:p>
      <w:r>
        <w:t>Les frais de la procédure de recours seront laissés à la charge de l'État, l'ordonnance querellée faisant état d'une pièce non communiquée préalablement au prévenu. * * * * *</w:t>
      </w:r>
    </w:p>
    <w:p>
      <w:r>
        <w:t>- 11/11 - P/23505/2020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