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ACPR/935/2023 vom 18. Oktober 2023</w:t>
      </w:r>
    </w:p>
    <w:p>
      <w:r>
        <w:t>GE Cour de justice, 2023-10-18, FR</w:t>
      </w:r>
    </w:p>
    <w:p>
      <w:r>
        <w:rPr>
          <w:b/>
        </w:rPr>
        <w:t xml:space="preserve">Quelle: </w:t>
      </w:r>
      <w:r>
        <w:t>https://mcp.opencaselaw.ch/entscheid/ge_gerichte_ACPR_935_2023</w:t>
      </w:r>
    </w:p>
    <w:p>
      <w:r>
        <w:t>FR: GE_GERICHTE ACPR/935/2023 du 18 octobre 2023</w:t>
      </w:r>
    </w:p>
    <w:p>
      <w:r>
        <w:t>IT: GE_GERICHTE ACPR/935/2023 del 18 ottobre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En tant que A______, sans prendre de conclusions formelles, sollicite de la Chambre de céans qu'elle invite le SAPEM à examiner l'opportunité d'un placement en milieu ouvert, son recours est irrecevable, faute de décision préalable sujette à recours (art. 393 al. 1 let. a CPP).</w:t>
      </w:r>
    </w:p>
    <w:p>
      <w:r>
        <w:rPr>
          <w:b/>
        </w:rPr>
        <w:t>E. 2.2</w:t>
      </w:r>
    </w:p>
    <w:p>
      <w:r>
        <w:t>Pour le surplus, 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3</w:t>
      </w:r>
    </w:p>
    <w:p>
      <w:r>
        <w:t>Le recourant reproche à l'autorité précédente d'avoir ordonné la poursuite de son traitement institutionnel au sens de l'art. 59 CP.</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w:t>
      </w:r>
    </w:p>
    <w:p>
      <w:r>
        <w:t>- 7/11 - PM/899/2023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 arrêt du Tribunal fédéral 6B_1167/2018 du 23 janvier 2019 consid. 4.3.1).</w:t>
      </w:r>
    </w:p>
    <w:p>
      <w:r>
        <w:rPr>
          <w:b/>
        </w:rPr>
        <w:t>E. 3.2</w:t>
      </w:r>
    </w:p>
    <w:p>
      <w:r>
        <w:t>La libération conditionnelle d'une mesure est réglée par l'art. 62 CP. Elle est accordée dès que l'état de l'auteur justifie qu'on lui donne l'occasion de faire ses preuves en liberté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p. 202 ss ; arrêts du Tribunal fédéral 6B_91/2015 du 3 mars 2015 consid. 1.1 ; 6B_471/2012 du 21 janvier 2013 consid. 3.1.1).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202 ; arrêt du Tribunal fédéral 6B_347/2018 du 28 juin 2018 consid. 4.1.3).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p. 203 ; arrêt du Tribunal fédéral 6B_347/2018 du 28 juin 2018 consid. 4.1.3). La libération conditionnelle d'une mesure</w:t>
      </w:r>
    </w:p>
    <w:p>
      <w:r>
        <w:t>- 8/11 - PM/899/2023 thérapeutique en milieu fermé au sens de l'art. 59 al. 3 CP n'est pas soumise à des conditions plus strictes que celle d'une autre mesure (arrêts du Tribunal fédéral 6B_91/2015 du 3 mars 2015 consid. 1.1 ; 6B_471/2012 du 21 janvier 2013 consid. 3.1.1).</w:t>
      </w:r>
    </w:p>
    <w:p>
      <w:r>
        <w:rPr>
          <w:b/>
        </w:rPr>
        <w:t>E. 3.3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3.4</w:t>
      </w:r>
    </w:p>
    <w:p>
      <w:r>
        <w:t>En l'espèce, le recourant présente, selon l'expertise psychiatrique du 25 novembre 2019 et son complément du 31 mars 2020, une schizophrénie paranoïde, avec un risque très élevé d'actes violents contre les personnes. Le but de la prise en charge institutionnelle, considérée comme le seul facteur de protection, est la prise de conscience par l'intéressé de son trouble. Même à considérer uniquement les rapports antérieurs à sa crise du 24 juillet 2023, la stabilité de l'état psychique du recourant était alors très relative : il avait dû être hospitalisé à la suite de scarifications infligées après la réunion de réseau du 25 janvier 2023 et n'avait aucun projet clair et réaliste pour sa sortie – il excluait tout retour dans son pays d'origine malgré l'expulsion pénale entrée en force –, situation qui n'a, depuis lors, pas évolué. Il est donc probable qu'il se retrouve, en cas de sortie, livré à lui-même, sans encadrement social ni thérapeutique, perdant ainsi son seul facteur de protection face au risque de récidive, qualifié de très élevé. Or, la récente crise susmentionnée confirme non seulement la fragilité de l'état psychique du recourant mais aussi l'appréciation du risque de récidive de l'expertise au dossier ; le recourant, qui a mis le feu à sa cellule – où il avait été surpris en train de priser un produit – et qui a été impliqué dans une bagarre avec un codétenu, s'est en effet livré à des actes paraissant relever d'infractions pour lesquelles il a déjà fait l'objet de condamnations. Par ailleurs, malgré son état psychique, qualifié d'instable dans le dernier rapport de suivi, l'intéressé refuse de se soumettre à la médication et s'est retiré des activités de groupe, deux éléments qui montrent – outre ce qui précède – que le but de la prise en charge institutionnelle n'a pas encore été atteint. Compte tenu de ce qui précède, le pronostic quant au comportement futur du recourant ne peut pas être considéré comme favorable.</w:t>
      </w:r>
    </w:p>
    <w:p>
      <w:r>
        <w:rPr>
          <w:b/>
        </w:rPr>
        <w:t>E. 4</w:t>
      </w:r>
    </w:p>
    <w:p>
      <w:r>
        <w:t>Justifié, le jugement entrepris sera donc confirmé.</w:t>
      </w:r>
    </w:p>
    <w:p>
      <w:r>
        <w:t>- 9/11 - PM/899/2023</w:t>
      </w:r>
    </w:p>
    <w:p>
      <w:r>
        <w:rPr>
          <w:b/>
        </w:rPr>
        <w:t>E. 5</w:t>
      </w:r>
    </w:p>
    <w:p>
      <w:r>
        <w:t>Le recourant, qui succombe, supportera les frais envers l'État, qui seront fixés en totalité à CHF 600.- (art. 428 al. 1 CPP et 13 al. 1 du Règlement fixant le tarif des frais en matière pénale [RTFMP; E 4 10.03]).</w:t>
      </w:r>
    </w:p>
    <w:p>
      <w:r>
        <w:rPr>
          <w:b/>
        </w:rPr>
        <w:t>E. 6</w:t>
      </w:r>
    </w:p>
    <w:p>
      <w:r>
        <w:t>Le défenseur d'office du recourant n'a pas produit d'état de frais en instance de recours.</w:t>
      </w:r>
    </w:p>
    <w:p>
      <w:r>
        <w:rPr>
          <w:b/>
        </w:rPr>
        <w:t>E. 6.1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chef d'étude (art. 16 al. 1 let. c RAJ) et CHF 110.- pour un avocat-stagiaire (art. 16 al. 1 let. a RAJ).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arrêt du Tribunal fédéral 6B_856/2014 du 10 juillet 2015 consid. 2.3).</w:t>
      </w:r>
    </w:p>
    <w:p>
      <w:r>
        <w:rPr>
          <w:b/>
        </w:rPr>
        <w:t>E. 6.2</w:t>
      </w:r>
    </w:p>
    <w:p>
      <w:r>
        <w:t>En l'espèce, il sera alloué au défenseur, ex aequo et bono, une indemnité de CHF 215.40 TTC pour son activité devant l'instance de recours. * * * * *</w:t>
      </w:r>
    </w:p>
    <w:p>
      <w:r>
        <w:t>- 10/11 - PM/899/2023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