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ACPR/934/2019 vom 26. September 2019</w:t>
      </w:r>
    </w:p>
    <w:p>
      <w:r>
        <w:t>GE Cour de justice, 2019-09-26, FR</w:t>
      </w:r>
    </w:p>
    <w:p>
      <w:r>
        <w:rPr>
          <w:b/>
        </w:rPr>
        <w:t xml:space="preserve">Quelle: </w:t>
      </w:r>
      <w:r>
        <w:t>https://mcp.opencaselaw.ch/entscheid/ge_gerichte_ACPR_934_2019</w:t>
      </w:r>
    </w:p>
    <w:p>
      <w:r>
        <w:t>FR: GE_GERICHTE ACPR/934/2019 du 26 septembre 2019</w:t>
      </w:r>
    </w:p>
    <w:p>
      <w:r>
        <w:t>IT: GE_GERICHTE ACPR/934/2019 del 26 settembre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souhaite être mis au bénéfice d'une défense d'office.</w:t>
      </w:r>
    </w:p>
    <w:p>
      <w:r>
        <w:rPr>
          <w:b/>
        </w:rPr>
        <w:t>E. 2.1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par les autorités (arrêt du Tribunal fédéral 1B_279/2014 du 3 novembre 2014 consid. 2.1.1 = SJ 2015 I 172).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du Tribunal fédéral 1B_314/2015 du 23 octobre 2015 consid. 2.2 et les références). Dans la doctrine, l'hypothèse prévue à l'art. 130 let. c CPP est notamment tenue pour réalisée lorsque le prévenu n'est plus à même d'assurer, intellectuellement ou physiquement, sa participation à la procédure, à l'image des cas visés par l'art. 114 al. 2 et 3 CPP. À titre d'incapacités personnelles, il peut s'agir de dépendances à l'alcool, aux stupéfiants ou à des médicaments susceptibles d'altérer les capacités psychiques, ainsi que de troubles mentaux sévères ou même légers.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w:t>
      </w:r>
    </w:p>
    <w:p>
      <w:r>
        <w:t>- 7/8 - P/25261/2018 désignation d'un défenseur d'office en cas de doute ou lorsqu'une expertise psychiatrique constate l'irresponsabilité du prévenu, respectivement une responsabilité restreinte de celui-ci (arrêts du Tribunal fédéral 1B_285/2016 du 1er septembre 2016 consid. 2.1 et les autres références citées ; 1B_279/2014 du</w:t>
      </w:r>
    </w:p>
    <w:p>
      <w:r>
        <w:rPr>
          <w:b/>
        </w:rPr>
        <w:t>E. 2.2</w:t>
      </w:r>
    </w:p>
    <w:p>
      <w:r>
        <w:t>En l'espèce, il ressort des documents produits que le recourant a été victime d'un AVC au début du mois de juillet 2017. À la même période, il a été contraint de se soumettre à une expertise familiale. Les experts ont conclu qu'il présente un trouble de la personnalité. Ils ont préavisé une réduction de son droit de visite sur son fils, à laquelle le TPAE a fait droit. Les certificats médicaux produits par le recourant établissent que ce dernier présente, actuellement, un état dépressif majeur, qui paraît être en lien avec l'AVC et ses conséquences. Or, les faits qui lui sont reprochés dans la présente procédure ont débuté le 24 octobre 2017. Un lien avec l'AVC ne peut donc être exclu. Au vu des éléments médicaux au dossier, il subsiste un doute sur la capacité du recourant à participer à la procédure, au vu de son état psychique, laquelle présente un certain enjeu. Partant, il sera retenu que le recourant se trouve, en l'état, dans une situation justifiant une défense obligatoire en vertu de l'art. 130 let. c CPP et un défenseur d'office doit lui être désigné (art. 132 al. 1 CPP).</w:t>
      </w:r>
    </w:p>
    <w:p>
      <w:r>
        <w:rPr>
          <w:b/>
        </w:rPr>
        <w:t>E. 3</w:t>
      </w:r>
    </w:p>
    <w:p>
      <w:r>
        <w:t>Fondé, le recours doit être admis ; partant, l'ordonnance querellée sera annulée. La défense d'office du recourant sera admise à compter du 12 août 2019 (art. 5 al. 1 RAJ) et Me B______ désignée à cet effet.</w:t>
      </w:r>
    </w:p>
    <w:p>
      <w:r>
        <w:rPr>
          <w:b/>
        </w:rPr>
        <w:t>E. 4</w:t>
      </w:r>
    </w:p>
    <w:p>
      <w:r>
        <w:t>L'admission du recours ne donne pas lieu à la perception de frais (art. 428 al. 1 CPP). * * * * *</w:t>
      </w:r>
    </w:p>
    <w:p>
      <w:r>
        <w:t>- 8/8 - P/25261/2018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