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ACPR/933/2024 vom 11. November 2024</w:t>
      </w:r>
    </w:p>
    <w:p>
      <w:r>
        <w:t>GE Cour de justice, 2024-11-11, FR</w:t>
      </w:r>
    </w:p>
    <w:p>
      <w:r>
        <w:rPr>
          <w:b/>
        </w:rPr>
        <w:t xml:space="preserve">Quelle: </w:t>
      </w:r>
      <w:r>
        <w:t>https://mcp.opencaselaw.ch/entscheid/ge_gerichte_ACPR_933_2024</w:t>
      </w:r>
    </w:p>
    <w:p>
      <w:r>
        <w:t>FR: GE_GERICHTE ACPR/933/2024 du 11 novembre 2024</w:t>
      </w:r>
    </w:p>
    <w:p>
      <w:r>
        <w:t>IT: GE_GERICHTE ACPR/933/2024 del 11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 à son encontre.</w:t>
      </w:r>
    </w:p>
    <w:p>
      <w:r>
        <w:t>- 10/16 - P/18329/2024</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c'est à juste titre que le TMC a retenu que des charges suffisantes et graves persistaient à l'encontre du recourant au moment du prononcé de l'ordonnance querellée le 11 novembre 2024, considérant les circonstances de son interpellation, dans un appartement en présence de deux jeunes filles se livrant à la prostitution, les déclarations de celles-ci, ainsi que celles de E______ et de D______, les divers documents retrouvés dans l'appartement, dont des carnets du lait où étaient transcrites les passes des deux jeunes filles, le contenu des téléphones et le résultat de l'analyse de la téléphonie (rapport du 9 septembre 2024), le fait qu'il ait activé le 24 juillet 2024 le raccordement téléphonique figurant sur l'annonce pour les service de "I______" (F______), et l'audience de confrontation, lors de laquelle F______ et E______ ont maintenu leurs déclarations notamment à son encontre. C'est ainsi en vain que le recourant cherche à tirer profit de certaines déclarations de E______, s'agissant en particulier des modalités de partage des revenus retirés de l'activité de prostitution. Celle-ci a en effet en dernier lieu confirmé un partage des gains des jeunes prostituées en quatre, soit un quart pour lui. Ces charges se sont qui plus est renforcées, à lire le rapport de renseignements du 24 novembre 2024 et les déclarations faites lors de l'audience qui s'est ensuivie le</w:t>
      </w:r>
    </w:p>
    <w:p>
      <w:r>
        <w:rPr>
          <w:b/>
        </w:rPr>
        <w:t>E. 3</w:t>
      </w:r>
    </w:p>
    <w:p>
      <w:r>
        <w:t>Le recourant conteste tout risque de fuite et propose subsidiairement une caution de CHF 20'000.- pour le pallier.</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La proximité de l'audience de jugement rend généralement le risque de fuite plus aigu (arrêt du Tribunal fédéral 1B_447/2011 du 21 septembre 2011).</w:t>
      </w:r>
    </w:p>
    <w:p>
      <w:r>
        <w:rPr>
          <w:b/>
        </w:rPr>
        <w:t>E. 3.2</w:t>
      </w:r>
    </w:p>
    <w:p>
      <w:r>
        <w:t>En l'espèce, le recourant est de nationalité française et vivait à K______ (France) avant son interpellation. Ce pays n'extrade pas ses ressortissants. L'instruction doit pouvoir se poursuivre en Suisse et le recourant y être, le cas échéant, jugé, telle étant l'intention affichée par le Ministère public. Au vu de la peine-menace et concrètement encourue, le risque de fuite est tangible. Le recourant n'a aucune attache familiale en Suisse et sa fiancée vit en France. S'il a dit avoir eu par le passé une activité d'agent de sécurité dans le canton de Vaud, il a également déclaré qu'elle avait pris fin, ce qui lui permettait de prendre des vacances à Genève au moment de son interpellation au début du mois d'août 2024, avant un nouvel emploi à compter du 1er octobre 2024. Toujours est-il que la prise d'un tel poste dans notre canton ne semble plus être d'actualité. Dans ces circonstances, la volonté alléguée du recourant de revenir en Suisse pour y être le cas échéant jugé apparait hautement douteuse, étant noté qu'il ne prétend pas vouloir s'y installer, et conteste en grande partie les charges à son encontre. L'astreinte à se présenter régulièrement à un "service administratif" proposée par le recourant ne constitue pas une mesure de substitution efficace en tant qu'elle n'empêcherait pas sa fuite mais ne permettrait que de la constater a posteriori. Enfin le versement d'une caution de CHF 20'000.- réunie par la "fiancée" du recourant ne peut être considéré comme un frein suffisamment puissant pour écarter toute velléité de fuite, au vu de la situation de l'intéressé, dont la relation qu'il admet entretenir avec F______.</w:t>
      </w:r>
    </w:p>
    <w:p>
      <w:r>
        <w:t>- 12/16 - P/18329/2024</w:t>
      </w:r>
    </w:p>
    <w:p>
      <w:r>
        <w:rPr>
          <w:b/>
        </w:rPr>
        <w:t>E. 4</w:t>
      </w:r>
    </w:p>
    <w:p>
      <w:r>
        <w:t>Le recourant conteste tout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le risque de collusion n'a pas disparu, quand bien même l'instruction préliminaire est à bout touchant, puisqu'à l'issue de l'audience du 3 décembre 2024 les conseils des deux prévenus ont indiqué ne pas avoir de réquisitions de preuves à formuler et qu'en novembre 2024 le Ministère public annonçait un renvoi en jugement après cette audience. Certes, les confrontations essentielles sont intervenues, mais le recourant persiste à contester toute implication dans les faits qui lui sont reprochés, malgré les éléments figurant à la procédure. Le risque de collusion perdure ainsi de façon concrète, y compris sous la forme de représailles, en particulier à l'égard de F______ et de G______, de très jeunes filles dont la situation personnelle s'avère complexe, ainsi qu'à l'égard de ses coprévenus E______, libérée le 4 octobre 2024, et D______. Il convient d'éviter que le prévenu ne cherche à influencer leurs déclarations et compromette ainsi la recherche de la vérité. Quand bien même le recourant conteste toute tentative d'intimidation, les déclarations de E______ les 17 septembre et 4 octobre 2024 devant le Ministère public et les téléphones que celle-ci a eus avec sa mère permettant de penser que celle-là a subi des pressions en prison, avec des annonces de représailles une fois qu'elle sortirait, pour le disculper. Dans ces circonstances, l'engagement du prévenu à ne pas contacter les personnes impliquées dans la procédure est insuffisant, considérant les enjeux de la procédure pour lui et le respect de cette mesure ne pouvant pas être concrètement vérifié.</w:t>
      </w:r>
    </w:p>
    <w:p>
      <w:r>
        <w:t>- 13/16 - P/18329/2024 C'est donc à bon droit que le TMC a retenu ce risque, lequel ne saurait être pallié, au vu de son importance, par une interdiction de contact.</w:t>
      </w:r>
    </w:p>
    <w:p>
      <w:r>
        <w:rPr>
          <w:b/>
        </w:rPr>
        <w:t>E. 5</w:t>
      </w:r>
    </w:p>
    <w:p>
      <w:r>
        <w:t>Le recourant se plaint d'une violation du principe de l'égalité de traitement, dans la mesure où E______ a été libérée le 4 octobre 2024 [avec des mesures de substitution, dont le versement d'une caution par sa mère de CHF 10'000.-].</w:t>
      </w:r>
    </w:p>
    <w:p>
      <w:r>
        <w:rPr>
          <w:b/>
        </w:rPr>
        <w:t>E. 5.1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144 I 113 consid. 5.1.1 p. 115; 142 V 316 consid. 6.1.1 p. 323). Un prévenu détenu ne peut pas se prévaloir d'une inégalité de traitement avec un autre prévenu libéré si la loi a été correctement appliquée à son cas (arrêt du Tribunal fédéral 1B_298/2013 du 26 septembre 2013 consid. 4 in fine et les références).</w:t>
      </w:r>
    </w:p>
    <w:p>
      <w:r>
        <w:rPr>
          <w:b/>
        </w:rPr>
        <w:t>E. 5.2</w:t>
      </w:r>
    </w:p>
    <w:p>
      <w:r>
        <w:t>En l'espèce, il ressort de la procédure que l'activité du recourant et de D______ dans le milieu de la prostitution semble avoir été plus intense et vaste que celle reprochée à E______. Le rôle de cette dernière apparait avoir été circonscrit à l'activité déployée par les deux jeunes filles présentes le 7 août 2024 dans l'appartement alors que les deux autres prévenus, en sus de leur présence sur place, auraient établi les profils des deux jeunes filles amenées à se prostituer à Genève, géré le "compte H______", publié les annonces, fixé les tarifs des prestations, eu les clients au téléphone et supervisé les passes entre autres. Contrairement au recourant, E______ a, dans les grandes lignes, admis son implication. Le recourant ne saurait donc invoquer, ici, le principe de l'égalité de traitement, la situation de la précitée n'étant pas semblable à la sienne.</w:t>
      </w:r>
    </w:p>
    <w:p>
      <w:r>
        <w:rPr>
          <w:b/>
        </w:rPr>
        <w:t>E. 6</w:t>
      </w:r>
    </w:p>
    <w:p>
      <w:r>
        <w:t>La durée de la détention à ce stade ne paraît pas excéder la peine concrètement encourue par le recourant (art. 212 al. 3 CPP), s’il était reconnu coupable des infractions reprochées par le Ministère public. Ni lui ni son défenseur ne prétendent le contraire.</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t>- 14/16 - P/18329/2024</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w:t>
      </w:r>
    </w:p>
    <w:p>
      <w:r>
        <w:rPr>
          <w:b/>
        </w:rPr>
        <w:t>E. 10</w:t>
      </w:r>
    </w:p>
    <w:p>
      <w:r>
        <w:t>L'indemnité du défenseur d'office sera fixée à la fin de la procédure (art. 135 al. 2 CPP). * * * * *</w:t>
      </w:r>
    </w:p>
    <w:p>
      <w:r>
        <w:t>- 15/16 - P/18329/2024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