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ACPR/932/2020 vom 23. Oktober 2020</w:t>
      </w:r>
    </w:p>
    <w:p>
      <w:r>
        <w:t>GE Cour de justice, 2020-10-23, FR</w:t>
      </w:r>
    </w:p>
    <w:p>
      <w:r>
        <w:rPr>
          <w:b/>
        </w:rPr>
        <w:t xml:space="preserve">Quelle: </w:t>
      </w:r>
      <w:r>
        <w:t>https://mcp.opencaselaw.ch/entscheid/ge_gerichte_ACPR_932_2020</w:t>
      </w:r>
    </w:p>
    <w:p>
      <w:r>
        <w:t>FR: GE_GERICHTE ACPR/932/2020 du 23 octobre 2020</w:t>
      </w:r>
    </w:p>
    <w:p>
      <w:r>
        <w:t>IT: GE_GERICHTE ACPR/932/2020 del 23 ottobre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310 al. 2, 322 al. 3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que les conditions d'une non-entrée en matière n'étaient pas réunies.</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t>- 4/8 - P/19851/2020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 R. PFISTER-LIECHTI (éd.), La procédure pénale fédérale, Fondation pour la formation continue des juges suisses, Berne 2010, p. 62; DCPR/85/2011 du 27 avril 2011).</w:t>
      </w:r>
    </w:p>
    <w:p>
      <w:r>
        <w:rPr>
          <w:b/>
        </w:rPr>
        <w:t>E. 2.2</w:t>
      </w:r>
    </w:p>
    <w:p>
      <w:r>
        <w:t>Se rend coupable de violation de domicile quiconque pénètre, d'une manière illicite et contre la volonté de l'ayant droit, dans une maison ou dans un local fermé faisant partie d'une maison (art. 186 CP). L'infraction est consommée dès que l'auteur s'introduit dans le domaine clos sans l'autorisation de celui qui a le pouvoir d'en disposer (ATF 128 IV 81 consid. 4a p. 85; ATF 108 IV 33 consid. 5b p. 39). La seconde hypothèse de l'article 186 CP vise le cas où l'auteur est déjà dans les lieux et n'y a pas pénétré contre la volonté de l'ayant droit : l'infraction est alors commise lorsque, malgré l'ordre intimé par l'ayant droit à l'auteur, ce dernier ne quitte pas les lieux (ATF 128 IV 81 consid. 4a p. 85). La violation de domicile est un délit contre la liberté; plus particulièrement, le bien protégé est la liberté du domicile, qui comprend la faculté de régner sur des lieux déterminés sans être troublé et d'y manifester librement sa propre volonté (ATF 128 IV 81 consid. 3a p. 84).</w:t>
      </w:r>
    </w:p>
    <w:p>
      <w:r>
        <w:rPr>
          <w:b/>
        </w:rPr>
        <w:t>E. 2.3</w:t>
      </w:r>
    </w:p>
    <w:p>
      <w:r>
        <w:t>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Il n'y a pas d'appropriation si, d'emblée, l'auteur veut rendre la chose intacte après un acte d'utilisation (arrêts du Tribunal fédéral 6B_1043/2015 du 9 décembre 2015 consid. 4.2.1 et 6B_395/2015 du 25 novembre 2015 consid. 2.2). L'appropriation est illégitime dès lors qu'elle dénote un</w:t>
      </w:r>
    </w:p>
    <w:p>
      <w:r>
        <w:t>- 5/8 - P/19851/2020 comportement contraire à la volonté du propriétaire (ATF 129 IV 223 consid. 6.3; arrêt du Tribunal fédéral 6B_1056/2018 du 29 janvier 2019 consid. 2.3.1).</w:t>
      </w:r>
    </w:p>
    <w:p>
      <w:r>
        <w:rPr>
          <w:b/>
        </w:rPr>
        <w:t>E. 2.4</w:t>
      </w:r>
    </w:p>
    <w:p>
      <w:r>
        <w:t>L'art. 144 al. 1 CP punit, sur plainte, celui qui aura endommagé, détruit ou mis hors d'usage une chose appartenant à autrui ou frappée d'un droit d'usage ou d'usufruit au bénéfice d'autrui. La protection pénale est donnée même aux choses objectivement sans valeur économique ou esthétique. Seul l'intérêt légitime du lésé est toutefois protégé. Il faut ainsi réserver la faculté de déclarer la plainte abusive si elle est déposée par pure chicane, la modification étant insignifiante ou ne présentant manifestement que des avantages (ACPR/509/2016 du 16 août 2016 ; B. CORBOZ, Les infractions en droit suisse, Berne 2010, vol. I., n. 20-21 ad art. 144 et les références citées).</w:t>
      </w:r>
    </w:p>
    <w:p>
      <w:r>
        <w:rPr>
          <w:b/>
        </w:rPr>
        <w:t>E. 2.5</w:t>
      </w:r>
    </w:p>
    <w:p>
      <w:r>
        <w:t>En l'espèce, il n'est pas nécessaire d'examiner si la mise à disposition, à titre onéreux, d'un appartement meublé est constitutive d'un bail à loyer (ou d'une sous- location autorisée). Il suffit de constater que la recourante a donné librement accès à cet appartement à la personne qui, apparemment, l'habite encore. La recourante n'y réside pas et n'y est pas domiciliée. Dans cette mesure, l'occupante actuelle, même si elle y séjourne en dépit d'injonctions de libérer les lieux, en est l'ayant droit. Sa situation s'apparente à celle d'une sous-locataire. Or, un sous-locataire est un ayant droit, au sens de l'art. 186 CP (ATF 112 IV 31 consid. 3 p. 33). L'accusation d'appropriation de mobilier n'est pas mieux fondée. La recourante elle- même affirme avoir prêté son appartement, meublé. Dès lors, une volonté d'appropriation des meubles garnissant le logement ne saurait se déduire du simple fait que l'ayant droit prolonge son séjour. Du reste, une violation de l'art. 137 CP n'apparaît concrètement possible que dans des configurations tout à fait particulières, telle que par exemple le déplacement d'une chose à l'insu de l'auteur, qui déciderait de la conserver après s'en être aperçu (M. DUPUIS / L. MOREILLON / C. PIGUET / S. BERGER / M. MAZOU / V. RODIGARI (éds), Code pénal - Petit commentaire, 2e éd., Bâle 2017, n. 9 ad art. 137). Rien de tel, en l'espèce. Quant à l'accusation de dommages à la propriété, elle ne repose, si on la comprend bien, que sur des constatations visuelles, par suite d'une intervention de police auxquelles la recourante est étrangère. Or, qualifier l'état d'un appartement de "déplorable" renvoie à une notion d'hygiène, de soin et d'entretien, non d'endommagement, de destruction ou de mise hors d'usage. La recourante affirme, du reste, uniquement, mais de façon significative, que le logement était "plus que mal entretenu" (mémoire, p. 7). Des dégâts à son mobilier n'ont, ainsi, nullement été rendus vraisemblables.</w:t>
      </w:r>
    </w:p>
    <w:p>
      <w:r>
        <w:t>- 6/8 - P/19851/2020</w:t>
      </w:r>
    </w:p>
    <w:p>
      <w:r>
        <w:rPr>
          <w:b/>
        </w:rPr>
        <w:t>E. 3</w:t>
      </w:r>
    </w:p>
    <w:p>
      <w:r>
        <w:t>Comme le recours est manifestement mal fondé, la Chambre de céans pouvait décider d'emblée de le traiter sans échange d'écritures ni débats (art. 390 al. 2 et 5 a contrario CPP).</w:t>
      </w:r>
    </w:p>
    <w:p>
      <w:r>
        <w:rPr>
          <w:b/>
        </w:rPr>
        <w:t>E. 4</w:t>
      </w:r>
    </w:p>
    <w:p>
      <w:r>
        <w:t>N'ayant pas gain de cause, la recourante supportera les frais envers l'État, qui seront fixés en totalité à CHF 900.- (art. 428 al. 1 CPP et 13 al. 1 du Règlement fixant le tarif des frais en matière pénale, RTFMP; E 4 10.03).</w:t>
      </w:r>
    </w:p>
    <w:p>
      <w:r>
        <w:t>* * * * *</w:t>
      </w:r>
    </w:p>
    <w:p>
      <w:r>
        <w:t>- 7/8 - P/19851/2020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