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ACPR/930/2025 vom 26. Oktober 2025</w:t>
      </w:r>
    </w:p>
    <w:p>
      <w:r>
        <w:t>GE Cour de justice, 2025-10-26, FR</w:t>
      </w:r>
    </w:p>
    <w:p>
      <w:r>
        <w:rPr>
          <w:b/>
        </w:rPr>
        <w:t xml:space="preserve">Quelle: </w:t>
      </w:r>
      <w:r>
        <w:t>https://mcp.opencaselaw.ch/entscheid/ge_gerichte_ACPR_930_2025</w:t>
      </w:r>
    </w:p>
    <w:p>
      <w:r>
        <w:t>FR: GE_GERICHTE ACPR/930/2025 du 26 octobre 2025</w:t>
      </w:r>
    </w:p>
    <w:p>
      <w:r>
        <w:t>IT: GE_GERICHTE ACPR/930/2025 del 26 ottobre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s’oppose à l’établissement de son profil d’ADN.</w:t>
      </w:r>
    </w:p>
    <w:p>
      <w:r>
        <w:rPr>
          <w:b/>
        </w:rPr>
        <w:t>E. 2.1</w:t>
      </w:r>
    </w:p>
    <w:p>
      <w:r>
        <w:t>Comme toute mesure de contrainte, le prélèvement d'un échantillon d'ADN et l'établissement d'un profil d'ADN sont de nature à porter atteinte au droit à la liberté personnelle (art. 10 al. 2 Cst.) et à la protection contre l'emploi abusif de données personnelles (art. 13 al. 2 Cst. et 8 CEDH; ATF 147 I 372 consid. 2.2; 145 IV 263 consid. 3.4). Ces mesures doivent ainsi être fondées sur une base légale suffisamment claire et précise, être justifiées par un intérêt public et être proportionnées au but visé (cf. art. 36 al. 1 à 3 Cst.; ATF 147 I 372 consid. 2.3.3). L'art. 197 al. 1 CPP rappelle ces principes en précisant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w:t>
      </w:r>
    </w:p>
    <w:p>
      <w:r>
        <w:rPr>
          <w:b/>
        </w:rPr>
        <w:t>E. 2.2</w:t>
      </w:r>
    </w:p>
    <w:p>
      <w:r>
        <w:t>Selon l'art. 255 CPP, l'établissement d'un tel profil peut être ordonné sur le prévenu pour élucider un crime ou un délit, qu'il s'agisse de celui pour lequel</w:t>
      </w:r>
    </w:p>
    <w:p>
      <w:r>
        <w:t>- 5/10 - P/24201/2025 l'instruction est en cours (al. 1) ou d'autres infractions (al. 1bis), passées ou futures, qui sont encore inconnues des autorités (ATF 147 I 372 consid. 2.1; arrêt du Tribunal fédéral 7B_152/2023 du 2 juillet 2024 consid. 2.1.2).</w:t>
      </w:r>
    </w:p>
    <w:p>
      <w:r>
        <w:rPr>
          <w:b/>
        </w:rPr>
        <w:t>E. 2.3</w:t>
      </w:r>
    </w:p>
    <w:p>
      <w:r>
        <w:t>L'établissement d'un profil d'ADN, lorsqu'il ne sert pas à élucider une infraction pour laquelle une instruction pénale est en cours, est conforme au principe de la proportionnalité uniquement s'il existe des indices sérieux et concrets que le prévenu pourrait être impliqué dans d'autres infractions, mêmes futures. Il doit toutefois s'agir d'infractions d'une certaine gravité (ATF 147 I 372 consid. 4.2; 145 IV 263 consid. 3.4; arrêts du Tribunal fédéral 1B_259/2022 du 23 juin 2023 consid. 4.3; 1B_217/2022 du 15 mai 2023 consid. 3.1). Il convient à cet égard également de prendre en considération les éventuels antécédents du prévenu; l'absence d'antécédents n'empêche pas encore de prélever un échantillon et d'établir le profil d'ADN de celui-ci, mais il faudra tenir compte de cet élément dans la pesée d'intérêts à réaliser (ATF 145 IV 263 consid. 3.4 et les références citées; arrêts du Tribunal fédéral 1B_259/2022 précité consid. 4.3; 1B_230/2022 du 7 septembre 2022 consid. 2.2).</w:t>
      </w:r>
    </w:p>
    <w:p>
      <w:r>
        <w:rPr>
          <w:b/>
        </w:rPr>
        <w:t>E. 2.4</w:t>
      </w:r>
    </w:p>
    <w:p>
      <w:r>
        <w:t>Selon l’art. 17 al. 1 de la loi sur les profils d’ADN [RS 363], dans les cas visés à l’art. 16 al. 2 let. a à f et h et al. 6 de cette loi, le profil d’ADN peut, avec l’autorisation de l’autorité de jugement compétente, être conservé 10 ans de plus au maximum après l’expiration du délai d’effacement s’il subsiste un soupçon concret relatif à un crime ou à un délit non prescrit ou s’il y a lieu de craindre une récidive.</w:t>
      </w:r>
    </w:p>
    <w:p>
      <w:r>
        <w:t>Selon le Message du Conseil fédéral, l’autorité qui a ordonné la mesure ne doit pouvoir refuser son assentiment à l’effacement que si des indices concrets permettent de conclure que le profil d’ADN sera utilisé. Toutefois, on ne peut poser d’exigences trop élevées pour ce qui [est] de la présomption qui subsisterait ou du danger de récidive. Les motifs peuvent avoir leur origine dans la nature du délit (p. ex., un délit sexuel grave ou répété) ou dans le passé de l’intéressé (nombreux antécédents judiciaires et récidives) (cf. Message relatif à la loi fédérale sur l’utilisation de profils d’ADN dans le cadre d’une procédure pénale et sur l’identification de personnes inconnues ou disparues, FF 2001 19ss, 45).</w:t>
      </w:r>
    </w:p>
    <w:p>
      <w:r>
        <w:rPr>
          <w:b/>
        </w:rPr>
        <w:t>E. 2.5</w:t>
      </w:r>
    </w:p>
    <w:p>
      <w:r>
        <w:t>En l’espèce, l'établissement du profil d'ADN du recourant a été ordonné pour élucider, non pas les infractions en cours d'instruction, mais d'autres actes contraires à la LStup, dès lors qu'il avait déjà été soupçonné pour des faits similaires. À cet égard, il existe des indices sérieux et concrets de la commission, par le recourant, de tels actes punissables. En effet, il a été condamné à huit reprises, entre juin 2013 et janvier 2024, pour des infractions à la LStup, en lien avec des agissements qui dépassent le stade de la simple consommation personnelle, laquelle a fait l'objet de quatre contraventions en sus.</w:t>
      </w:r>
    </w:p>
    <w:p>
      <w:r>
        <w:t>- 6/10 - P/24201/2025 Ces condamnations à la LStup vont de pair avec des reproches répétés de situation irrégulière en Suisse, étant précisé que, pendant la période pénale précitée, l'intéressé a été condamné à dix reprises pour des infractions à la législation sur les étrangers (art. 115 al. 1 let. b et art. 119 al. 1 LEI) et six fois pour des ruptures de ban (art. 291 CP). Il a par ailleurs été condamné, par jugement du Tribunal de police du 21 juillet 2025 – lequel ne figure toutefois pas à l'extrait de son casier judiciaire au vu de l’appel en cours –, pour rupture de ban (art. 291 al. 1 CP), séjour illégal (art. 115 al. 1 let. b LEI), non-respect d'une assignation à un lieu de résidence ou d'une interdiction de pénétrer dans une région déterminée (art. 119 al. 1 LEI) et consommation de stupéfiants (art. 19a ch. 1 LStup). Il est enfin poursuivi, dans le cadre de la procédure P/1______/2025, actuellement pendante par devant le Tribunal de police, pour des faits susceptibles d'être constitutifs de séjour illégal (art. 115 al. 1 let. b LEI) et de non- respect d'une assignation à un lieu de résidence ou d'une interdiction de pénétrer dans une région déterminée (art. 119 al. 1 LEI). Ces éléments laissent craindre un ancrage dans la délinquance liée aux stupéfiants et permettent de penser que l'intéressé pourrait être quoiqu’il en dise impliqué dans d'autres infractions à la LStup encore inconnues des autorités, qui pourraient lui être attribuées si l'on était en mesure de comparer son profil d'ADN à des traces prélevées sur les lieux de leur commission. Les infractions à la LStup susceptibles d'être élucidées revêtent également une certaine gravité eu égard à la santé publique. Il s'agit d'ailleurs d'un des cas expressément listés par la Directive A.5 du Procureur général (cf. n. 4.3) qui, bien que n'ayant pas force de loi, est fondée sur l'art. 255 al. 1bis CPP, lequel autorise l'établissement d'un profil d'ADN pour les infractions passées. Le recourant soutient qu'ordonner un nouvel établissement de son profil d'ADN alors qu'un tel profil, immuable, avait déjà été établi plusieurs fois par le passé, serait arbitraire. La Chambre de céans est toutefois d'avis [cf. notamment, ACPR/400/2025 du 23 mai 2025 consid. 2.3] que dans la mesure où les profils d'ADN sont soumis à effacement après un certain délai [cf. art. 16 de la Loi sur les profils d'ADN; RS 363], il existe un intérêt public prépondérant – quand bien même l'établissement du profil d'ADN aurait déjà été ordonné à une ou plusieurs reprises et son effacement n'interviendrait pas avant de nombreuses années –, à soumettre derechef le prévenu à cette mesure, pour autant que les conditions légales soient à nouveau réalisées, ce qui est le cas en l'espèce. Ce sont d'ailleurs les soupçons de la commission de nouvelles infractions non encore élucidées – en l'occurrence des délits à la LStup – qui ont conduit le Ministère public à ordonner à nouveau l'établissement du profil d'ADN du recourant, afin d'en prolonger d'autant la date d'effacement dans les fichiers de la police. Dans la mesure où on se trouve dans une situation dans laquelle l'art. 255 al. 1bis CPP permet d'ordonner un tel établissement, la mesure est légale, et, partant, nullement arbitraire.</w:t>
      </w:r>
    </w:p>
    <w:p>
      <w:r>
        <w:t>- 7/10 - P/24201/2025 Le recourant invoque encore le droit à être protégé contre l'emploi abusif des données qui le concernent (art. 8 CEDH et art. 13 al. 2 Cst. féd.). Or, on ne voit pas en quoi le nouvel établissement de son profil d'ADN pourrait constituer un tel emploi abusif, puisqu'il a été ordonné sur la base – légale – de l'art. 255 al. 1bis CPP, dont les conditions sont remplies, comme cela a été retenu ci-dessus. Ainsi, le fait, pour le Ministère public, d'avoir, dans de telles circonstances, ordonné une nouvelle fois l'établissement du profil d'ADN du recourant, afin d'en prolonger le délai de conservation, n'apparait nullement disproportionné, quand bien-même l'échéance dudit délai n'interviendra que dans dix ou vingt ans. Le recourant soutient que le nouvel établissement de son profil d’ADN rendrait "lettre morte" l’art. 17 de la loi sur les profils d’ADN. La Chambre de céans ne partage toutefois pas cette opinion. Cette disposition prévoit la possibilité de prolonger la durée de conservation d’un profil d’ADN lorsque le condamné présente un risque de récidive, c’est-à-dire dans les cas où l’intéressé, après avoir été condamné, n’a pas récidivé mais présente des caractéristiques faisant craindre une réitération. Or, dans le cas d’espèce, le Ministère public a ordonné le nouvel établissement du profil d’ADN du recourant dans la mesure où il était à nouveau soupçonné d’avoir commis de nouvelles infractions pour lesquelles l’établissement d’un profil d’ADN était autorisé par l’art. 255 CPP. Dans le cas présent, un nouvel établissement, fondé sur la loi, en vue de prolonger d’autant le délai de conservation, ne paraît pas disproportionné ni ne viole l’art. 17 de la loi sur les profils d’ADN, lequel est prévu pour les cas dans lesquels la récidive, bien que redoutée, n’est pas intervenue. Le recourant invoque encore que les frais de ce nouvel établissement de son profil d'ADN seraient mis à sa charge et à celle du contribuable genevois. Il n'a toutefois pas été condamné à en supporter le coût, de tels frais n'ayant pas été mis à sa charge dans l'ordonnance pénale prononcée le même jour. Que ce coût soit éventuellement mis à sa charge ultérieurement – ce qui n'est pas évident à ce stade, dès lors que cette question ne se posera qu'à l'issue de la procédure et à la condition que l'intéressé soit condamné définitivement – n'est donc pas pertinent. Pour le surplus, le recourant ne saurait se soustraire à la mesure au prétexte que les frais pourraient incomber au contribuable genevois. Enfin, le délai d'effacement du profil d'ADN n'a pas à être mentionné expressément dans l'ordonnance d'établissement d'un tel profil, mais dans l'ordonnance pénale (ou le jugement) faisant suite à cette mesure (cf. art. 353 al. 1 let. fbis CPP). En effet, selon l'issue de la procédure, l'intérêt public à disposer du profil d'ADN de l'intéressé ne sera pas le même, de sorte qu'il appartient au juge du fond de trancher cette question. Il s'ensuit que l'ordonnance querellée ne prête pas le flanc à la critique, les réquisits pour le prononcé de l'établissement du profil d'ADN du recourant étant réunis.</w:t>
      </w:r>
    </w:p>
    <w:p>
      <w:r>
        <w:t>- 8/10 - P/24201/2025</w:t>
      </w:r>
    </w:p>
    <w:p>
      <w:r>
        <w:rPr>
          <w:b/>
        </w:rPr>
        <w:t>E. 3</w:t>
      </w:r>
    </w:p>
    <w:p>
      <w:r>
        <w:t>Justifiée, l'ordonnance querellée sera donc confirmée. Le recours, qui s'avère mal fondé, pouvait d'emblée être traité sans échange d'écritures ni débats (art. 390 al. 2 et</w:t>
      </w:r>
    </w:p>
    <w:p>
      <w:r>
        <w:rPr>
          <w:b/>
        </w:rPr>
        <w:t>E. 5</w:t>
      </w:r>
    </w:p>
    <w:p>
      <w:r>
        <w:t>Corrélativement, aucun dépens ne lui sera alloué (ATF 144 IV 207, consid. 1.8.2). * * * * *</w:t>
      </w:r>
    </w:p>
    <w:p>
      <w:r>
        <w:t>- 9/10 - P/24201/2025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