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ACPR/930/2024 vom 29. Oktober 2024</w:t>
      </w:r>
    </w:p>
    <w:p>
      <w:r>
        <w:t>GE Cour de justice, 2024-10-29, FR</w:t>
      </w:r>
    </w:p>
    <w:p>
      <w:r>
        <w:rPr>
          <w:b/>
        </w:rPr>
        <w:t xml:space="preserve">Quelle: </w:t>
      </w:r>
      <w:r>
        <w:t>https://mcp.opencaselaw.ch/entscheid/ge_gerichte_ACPR_930_2024</w:t>
      </w:r>
    </w:p>
    <w:p>
      <w:r>
        <w:t>FR: GE_GERICHTE ACPR/930/2024 du 29 octobre 2024</w:t>
      </w:r>
    </w:p>
    <w:p>
      <w:r>
        <w:t>IT: GE_GERICHTE ACPR/930/2024 del 29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w:t>
      </w:r>
    </w:p>
    <w:p>
      <w:r>
        <w:t>- 9/15 - P/26152/2022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l'ordonnance du 2 mai 2024, instituant les mesures de substitution litigieuses avait, déjà à l'époque, retenu l'existence de charges suffisantes et graves. Le concerné n'avait pas recouru à son encontre. Depuis lors, les éléments au dossier et les actes d'enquêtes menés, tels que l'audition des témoins et des thérapeutes des enfants, ainsi que les explications fournies par le recourant – qui ne conteste pas en soi la survenance des évènements reprochés – ne permettent pas de considérer que les soupçons pesant sur lui se seraient amoindris. Par ailleurs, il est rappelé qu'il est reproché au recourant notamment des délits, en particulier, des menaces (art. 180 CP) et une violation du devoir d'assistance et d'éducation (art. 219 CP).</w:t>
      </w:r>
    </w:p>
    <w:p>
      <w:r>
        <w:rPr>
          <w:b/>
        </w:rPr>
        <w:t>E. 3</w:t>
      </w:r>
    </w:p>
    <w:p>
      <w:r>
        <w:t>Le recourant conteste tout risque de collusion et réitération.</w:t>
      </w:r>
    </w:p>
    <w:p>
      <w:r>
        <w:rPr>
          <w:b/>
        </w:rPr>
        <w:t>E. 3.1</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preuves.</w:t>
      </w:r>
    </w:p>
    <w:p>
      <w:r>
        <w:rPr>
          <w:b/>
        </w:rPr>
        <w:t>E. 3.2</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w:t>
      </w:r>
    </w:p>
    <w:p>
      <w:r>
        <w:t>- 10/15 - P/26152/2022 collusion sont élevées (ATF 137 IV 122 consid. 4.2; 132 I 21 consid. 3.2; arrêt du Tribunal fédéral 1B_577/2020 du 2 décembre 2020 consid. 3.1).</w:t>
      </w:r>
    </w:p>
    <w:p>
      <w:r>
        <w:rPr>
          <w:b/>
        </w:rPr>
        <w:t>E. 3.3</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La prévention du risque de récidive doit en effet permettre de faire prévaloir l'intérêt à la sécurité publique sur la liberté personnelle du prévenu (ATF 137 IV 13 consid. 3 et 4).</w:t>
      </w:r>
    </w:p>
    <w:p>
      <w:r>
        <w:rPr>
          <w:b/>
        </w:rPr>
        <w:t>E. 3.4</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 se rendre dans un certain lieu ou un certain immeuble (let. c); l'obligation de se soumettre à un traitement médical ou à des contrôles (let. f) ; et l'interdiction d'entretenir des relations avec certaines personnes (let. g). Cette dernière lettre a été conçue avant tout pour éviter les risques de collusion ou de récidive, p. ex. en matière de violences domestiques (Y. JEANNERET / A. KUHN / C. PERRIER DEPEURSINGE (éds), Commentaire romand : Code de procédure pénale suisse, 2ème éd., Bâle 2019, n. 14 ad art. 237).</w:t>
      </w:r>
    </w:p>
    <w:p>
      <w:r>
        <w:rPr>
          <w:b/>
        </w:rPr>
        <w:t>E. 3.5</w:t>
      </w:r>
    </w:p>
    <w:p>
      <w:r>
        <w:t>En l'occurrence, si le risque de collusion à l'égard des témoins pourrait ne plus paraître d'actualité, dès lors qu'ils ont déjà été entendus devant le Ministère public et que rien n'indique, à ce stade, que de nouvelles auditions auront lieu, tel n'est pas le cas envers la partie plaignante et les enfants [de] A______. D'une part, l'instruction est toujours en cours, avec une audience à appointer afin d'entendre les parties. D'autre part, il ne peut être exclu, au vu des antécédents du recourant et des actes reprochés dans la présente procédure – consistant notamment à intervenir sans droit auprès de son épouse et ses enfants ou à les contacter –, que celui-ci ne soit tenté de les amener à modifier leurs déclarations en sa faveur si l'interdiction de contact avec ces derniers était levée.</w:t>
      </w:r>
    </w:p>
    <w:p>
      <w:r>
        <w:t>- 11/15 - P/26152/2022 Partant, c'est à juste titre qu'un tel risque a été retenu à l'encontre du recourant.</w:t>
      </w:r>
    </w:p>
    <w:p>
      <w:r>
        <w:rPr>
          <w:b/>
        </w:rPr>
        <w:t>E. 3.6</w:t>
      </w:r>
    </w:p>
    <w:p>
      <w:r>
        <w:t>Compte tenu des antécédents judiciaires du recourant, soit une condamnation pour des faits similaires, en raison desquels il a été détenu et de ceux objets de la présente procédure reprochés dès sa sortie de prison et alors qu'il avait connaissance de la présente procédure, un risque de réitération élevé doit être retenu. Au vu des explications persistantes du recourant consistant, en substance, à invoquer sa situation géographique, voire à rejeter la responsabilité de ses actes sur sa femme et/ ou ses enfants, ce risque apparaît d'autant plus concret. Partant, les mesures ordonnées paraissent ainsi aptes et adéquates, encore à ce jour, pour diminuer les risques sus-détaillés que présente le recourant. Le déménagement du recourant dans l'ancien domicile conjugal ne modifie pas ce qui précède. La localisation du logement en question, à proximité des lieux fréquentés par les filles [de] A______, n'interfère en effet pas avec les mesures litigieuses, dans la mesure où ce sont les contacts recherchés et/ou volontaires de la part du recourant qui sont prohibés. Les rencontres fortuites, lesquelles apparaissent inévitables, ont été réglementées, pour le bien des enfants. Les mesures prises à cet égard semblent d'ailleurs efficaces, dès lors que, selon le curateur des mineurs, lorsque de tels cas sont survenus, des échanges respectueux avec le recourant, sans déstabilisation des filles [de] A______ et sans dérangement de C______, ont pu avoir lieu.</w:t>
      </w:r>
    </w:p>
    <w:p>
      <w:r>
        <w:rPr>
          <w:b/>
        </w:rPr>
        <w:t>E. 3.7</w:t>
      </w:r>
    </w:p>
    <w:p>
      <w:r>
        <w:t>S'agissant du suivi thérapeutique imposé par le Tribunal correctionnel, il apparaît que le recourant le poursuit et n'entend pas l'interrompre. Seule sa justification auprès des autorités semble contestée par le recourant. Or, la simple obligation de respecter la communication de son suivi n'apparaît pas être disproportionnée, en l'état. En effet, si des améliorations du comportement du concerné vis-à-vis de sa famille sont à saluer, sa propension à relativiser sa participation aux faits reprochés justifie de continuer le suivi et qu'il en soit référé à la Direction de la procédure. Les mesures mises en place apparaissent ainsi justifiées, efficaces et proportionnées et il est ainsi prématuré, à ce stade, de les supprimer.</w:t>
      </w:r>
    </w:p>
    <w:p>
      <w:r>
        <w:rPr>
          <w:b/>
        </w:rPr>
        <w:t>E. 4</w:t>
      </w:r>
    </w:p>
    <w:p>
      <w:r>
        <w:t>Enfin, le recourant reproche au TMC d'avoir, dans sa décision querellée, commis un déni de justice, un abus de pouvoir d'appréciation et fait preuve d'arbitraire en se fondant sur une instruction "très" lacunaire et en ne tenant pas compte de son domicile actuel, ni de ses attestations de suivi psychologique. Dans la mesure où le TMC a rendu la décision querellée, il ne peut avoir commis de déni de justice, celui-ci consistant, pour l'autorité, à s'abstenir de rendre une décision</w:t>
      </w:r>
    </w:p>
    <w:p>
      <w:r>
        <w:t>- 12/15 - P/26152/2022 dans un délai convenable, conformément aux art. 29 al. 2 Cst et 5 al. 1 CPP (ATF 142 II 154 consid. 4.2; 135 I 6 consid. 2.1; 134 I 229 consid. 2.3). Partant, ce grief sera rejeté. Même à considérer que le recourant entendait en réalité invoquer une constatation erronée ou incomplète, voire arbitraire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Au vu de ce qui précède, soit la confirmation de la prolongation des mesures de substitution, en tenant compte de l'ensemble des éléments au dossier y compris les arguments et preuves produits par le recourant, les griefs d'abus de pouvoir d'appréciation de l'autorité intimée et d'arbitraire ne peuvent être que rejetés.</w:t>
      </w:r>
    </w:p>
    <w:p>
      <w:r>
        <w:rPr>
          <w:b/>
        </w:rPr>
        <w:t>E. 5</w:t>
      </w:r>
    </w:p>
    <w:p>
      <w:r>
        <w:t>Le recours, infondé, doit être rejeté et l'ordonnance confirmée.</w:t>
      </w:r>
    </w:p>
    <w:p>
      <w:r>
        <w:rPr>
          <w:b/>
        </w:rPr>
        <w:t>E. 6</w:t>
      </w:r>
    </w:p>
    <w:p>
      <w:r>
        <w:t>Le dispositif sera communiqué à C______ et au curateur des mineurs D___/E___/F___/G___/H___/I___, pour information (art. 214 al. 4 CPP).</w:t>
      </w:r>
    </w:p>
    <w:p>
      <w:r>
        <w:rPr>
          <w:b/>
        </w:rPr>
        <w:t>E. 7</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le recours est le premier à être dirigé contre les mesures de substitution de sorte que l'on peut admettre qu'il ne procède pas d'un abus.</w:t>
      </w:r>
    </w:p>
    <w:p>
      <w:r>
        <w:t>- 13/15 - P/26152/2022 L’indemnité du défenseur d’office sera cependant fixée à la fin de la procédure (art. 135 al. 2 CPP). * * * * *</w:t>
      </w:r>
    </w:p>
    <w:p>
      <w:r>
        <w:t>- 14/15 - P/26152/2022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