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ACPR/929/2024 vom 22. November 2024</w:t>
      </w:r>
    </w:p>
    <w:p>
      <w:r>
        <w:t>GE Cour de justice, 2024-11-22, FR</w:t>
      </w:r>
    </w:p>
    <w:p>
      <w:r>
        <w:rPr>
          <w:b/>
        </w:rPr>
        <w:t xml:space="preserve">Quelle: </w:t>
      </w:r>
      <w:r>
        <w:t>https://mcp.opencaselaw.ch/entscheid/ge_gerichte_ACPR_929_2024</w:t>
      </w:r>
    </w:p>
    <w:p>
      <w:r>
        <w:t>FR: GE_GERICHTE ACPR/929/2024 du 22 novembre 2024</w:t>
      </w:r>
    </w:p>
    <w:p>
      <w:r>
        <w:t>IT: GE_GERICHTE ACPR/929/2024 del 22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 à son encontre.</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l'occurrence, quoi qu'en dise le recourant, il existe, à ce stade initial de la procédure, des soupçons suffisants de la commission des infractions en cause. Outre ses explications confuses sur sa présence à Genève, les charges reposent sur son départ précipité de l'hôtel à la suite de l'interpellation de F______, en emportant les cartes SIM et cinq téléphones [dont seulement deux lui appartiendraient], susceptibles de contenir des éléments de preuve de son éventuelle participation aux agissements "pas nets" de son ami. Les charges doivent être qualifiées de graves. Il importe peu que les actes reprochés ne soient demeurés qu'au stade de la tentative et que le recourant aurait agi comme co- auteur ou complice. Le recourant ne saurait être suivi lorsqu'il soutient que seule une infraction d'importance mineure pourrait être retenue compte tenu du montant [CHF 305.50] mentionné dans le message E______, celui-ci n'étant, pour rappel, pas destiné à se faire remettre un tel montant, mais à obtenir la carte et les coordonnées bancaires du plaignant afin d'effectuer des prélèvements frauduleux d'un montant indéterminé. Par ailleurs, selon les éléments figurant à la procédure, les actes reprochés ne seraient pas isolés puisque le recourant et son coprévenu sont soupçonnés de faire partie d'une bande organisée sévissant en Suisse romande et utilisant le même mode opératoire au préjudice de personnes âgées. Le grief d'absence de charges suffisantes et graves doit ainsi être rejeté.</w:t>
      </w:r>
    </w:p>
    <w:p>
      <w:r>
        <w:rPr>
          <w:b/>
        </w:rPr>
        <w:t>E. 3</w:t>
      </w:r>
    </w:p>
    <w:p>
      <w:r>
        <w:t>Le recourant conteste un risque de collusion.</w:t>
      </w:r>
    </w:p>
    <w:p>
      <w:r>
        <w:t>- 5/8 - P/26787/2024</w:t>
      </w:r>
    </w:p>
    <w:p>
      <w:r>
        <w:rPr>
          <w:b/>
        </w:rPr>
        <w:t>E. 3.1</w:t>
      </w:r>
    </w:p>
    <w:p>
      <w:r>
        <w:t>Conformément à l'art. 221 al. 1 let. b CPP, la détention provisoire ne peut être ordonnée que lorsqu'il y a sérieusement lieu de craindre que le prévenu compromette la recherche de la vérité en exerçant une influence sur des personnes ou en altérant des moyens de preuve.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l'instruction ne fait que commencer. Le recourant, qui nie toute implication dans les faits reprochés, malgré les éléments au dossier, devra être confronté à son coprévenu et aux résultats d'analyse des téléphones saisis. Comme relevé, il y a aussi lieu d'enquêter sur les liens de la cause avec les agissements de la bande organisée à laquelle il est soupçonné d'appartenir et d'identifier notamment le dénommé "H______". Le risque de collusion est ainsi très élevé et ne saurait être pallié par une éventuelle interdiction de contact, étant relevé que celle-ci serait en l'état impossible à ordonner, les autres personnes impliquées n'étant, à ce stade, pas identifiées. Partant, la détention provisoire demeure nécessaire pour pallier ce risque.</w:t>
      </w:r>
    </w:p>
    <w:p>
      <w:r>
        <w:rPr>
          <w:b/>
        </w:rPr>
        <w:t>E. 4</w:t>
      </w:r>
    </w:p>
    <w:p>
      <w:r>
        <w:t>L'admission du risque, clair, de collusion dispense d'examiner s'il s'y ajouteraient les risques de fuite et de réitération (arrêts du Tribunal fédéral 1B_34/2023 du 13 février 2023 consid. 3.3.; 1B_51/2021 du 31 mars 2021 consid. 3.1.; 1B_322/2019 du 17 juillet 2019 consid. 3.3).</w:t>
      </w:r>
    </w:p>
    <w:p>
      <w:r>
        <w:rPr>
          <w:b/>
        </w:rPr>
        <w:t>E. 5</w:t>
      </w:r>
    </w:p>
    <w:p>
      <w:r>
        <w:t>Le recourant se plaint de la durée de la détention prononcée.</w:t>
      </w:r>
    </w:p>
    <w:p>
      <w:r>
        <w:rPr>
          <w:b/>
        </w:rPr>
        <w:t>E. 5.1</w:t>
      </w:r>
    </w:p>
    <w:p>
      <w:r>
        <w:t>Selon le principe de la proportionnalité (art. 36 al. 3 Cst., concrétisé par l'art. 237 al. 1 CPP), le tribunal compétent ordonne une ou plusieurs mesures moins sévères en lieu et place de la détention si elles permettent d'atteindre le même but que la détention.</w:t>
      </w:r>
    </w:p>
    <w:p>
      <w:r>
        <w:rPr>
          <w:b/>
        </w:rPr>
        <w:t>E. 5.2</w:t>
      </w:r>
    </w:p>
    <w:p>
      <w:r>
        <w:t>En l'occurrence, la durée de la détention, telle qu'ordonnée jusqu'au 20 février 2025, ne paraît pas, à ce stade, excéder la peine concrètement encourue par le recourant (art. 212 al. 3 CPP), s’il était reconnu coupable des infractions reprochées. Le fait que</w:t>
      </w:r>
    </w:p>
    <w:p>
      <w:r>
        <w:t>- 6/8 - P/26787/2024 la peine qui, pour rappel, ne saurait être de nature contraventionnelle, puisse être assortie du sursis n'est pas pertinent. Le grief est ainsi rejeté.</w:t>
      </w:r>
    </w:p>
    <w:p>
      <w:r>
        <w:rPr>
          <w:b/>
        </w:rPr>
        <w:t>E. 6</w:t>
      </w:r>
    </w:p>
    <w:p>
      <w:r>
        <w:t>Justifiée, l'ordonnance querellée sera donc confirmée.</w:t>
      </w:r>
    </w:p>
    <w:p>
      <w:r>
        <w:rPr>
          <w:b/>
        </w:rPr>
        <w:t>E. 7</w:t>
      </w:r>
    </w:p>
    <w:p>
      <w:r>
        <w:t>Le recourant, qui succombe, supportera les frais envers l'État, fixés en totalité à CHF 900.- (art. 428 al. 1 CPP et 13 al. 1 du Règlement fixant le tarif des frais en matière pénale, RTFMP ; E 4 10.03). La défense d'office n’empêche, en effet, pas que les frais de l’instance doivent être fixés (arrêts du Tribunal fédéral 1B_372/2014 du</w:t>
      </w:r>
    </w:p>
    <w:p>
      <w:r>
        <w:rPr>
          <w:b/>
        </w:rPr>
        <w:t>E. 8</w:t>
      </w:r>
    </w:p>
    <w:p>
      <w:r>
        <w:t>Le recourant plaide au bénéfice d'une défense d'office.</w:t>
      </w:r>
    </w:p>
    <w:p>
      <w:r>
        <w:rPr>
          <w:b/>
        </w:rPr>
        <w:t>E. 8.1</w:t>
      </w:r>
    </w:p>
    <w:p>
      <w:r>
        <w:t>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de ce premier recours ne procède pas d'un abus. L'indemnité du défenseur d'office sera fixée à la fin de la procédure (art. 135 al. 2 CPP). * * * * *</w:t>
      </w:r>
    </w:p>
    <w:p>
      <w:r>
        <w:t>- 7/8 - P/26787/2024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