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ACPR/920/2024 vom 23. Oktober 2024</w:t>
      </w:r>
    </w:p>
    <w:p>
      <w:r>
        <w:t>GE Cour de justice, 2024-10-23, FR</w:t>
      </w:r>
    </w:p>
    <w:p>
      <w:r>
        <w:rPr>
          <w:b/>
        </w:rPr>
        <w:t xml:space="preserve">Quelle: </w:t>
      </w:r>
      <w:r>
        <w:t>https://mcp.opencaselaw.ch/entscheid/ge_gerichte_ACPR_920_2024</w:t>
      </w:r>
    </w:p>
    <w:p>
      <w:r>
        <w:t>FR: GE_GERICHTE ACPR/920/2024 du 23 octobre 2024</w:t>
      </w:r>
    </w:p>
    <w:p>
      <w:r>
        <w:t>IT: GE_GERICHTE ACPR/920/2024 del 23 ottobre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ATF 143 IV 475 consid. 2.9; arrêt du Tribunal fédéral 1B_485/2021 du 26 novembre 2021 consid. 2.4.3).</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La garantie du droit d'être entendu impose à l'autorité de motiver ses décisions, afin que les parties puissent les comprendre et apprécier l'opportunité de les attaquer, et que les autorités de recours soient en mesure d'exercer leur contrôle (ATF 141 III 28 consid. 3.2.4; 136 I 229 consid. 5.2; 135 I 265 consid. 4.3). L'autorité n'a cependant pas l'obligation d'exposer et de discuter tous les faits, moyens de preuve et griefs invoqués par les parties, mais peut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 Il suffit que l'autorité mentionne, au moins brièvement, les motifs qui l'ont guidée et sur lesquels elle a fondé sa décision, de manière à ce que l'intéressé puisse se rendre compte de la portée de celle-ci et l'attaquer en connaissance de cause (ATF 143 IV 40 consid. 3.4.3; 142 I 135 consid. 2.1; arrêts du</w:t>
      </w:r>
    </w:p>
    <w:p>
      <w:r>
        <w:t>- 5/9 - P/2943/2023 Tribunal fédéral 6B_246/2017 du 28 décembre 2017 consid. 4.1 et 6B_726/2017 du 20 octobre 2017 consid. 4.1.1).</w:t>
      </w:r>
    </w:p>
    <w:p>
      <w:r>
        <w:rPr>
          <w:b/>
        </w:rPr>
        <w:t>E. 3.2</w:t>
      </w:r>
    </w:p>
    <w:p>
      <w:r>
        <w:t>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arrêt du Tribunal fédéral 6B_1135/2021 du 9 mai 2022 consid. 1.1).</w:t>
      </w:r>
    </w:p>
    <w:p>
      <w:r>
        <w:rPr>
          <w:b/>
        </w:rPr>
        <w:t>E. 3.3</w:t>
      </w:r>
    </w:p>
    <w:p>
      <w:r>
        <w:t>En l'espèce, le Ministère public n'a certes pas repris, dans sa décision, tous les arguments développés par le recourant dans sa prise de position, ni, a fortiori, ne les a discutés. Les motifs pour lesquels il a estimé injustifiée la demande de retrait immédiat des enregistrements du dossier sont toutefois exposés de manière suffisante pour permettre au recourant de les contester de manière détaillée, ce qu'il a au demeurant fait en reprenant dans ses écritures devant la Chambre de céans l'essentiel des moyens exposés précédemment. Si tant est que l'on puisse reprocher au Ministère public une violation du droit être entendu, celle-ci n'est ainsi, dans tous les cas, pas grave au point de n'avoir pu être réparée dans le cadre du recours. À cela s'ajoute qu'un renvoi de la cause au Ministère public pour ce motif constituerait une vaine formalité, au vu de la discussion qui suit. Ce grief sera, partant, rejeté.</w:t>
      </w:r>
    </w:p>
    <w:p>
      <w:r>
        <w:rPr>
          <w:b/>
        </w:rPr>
        <w:t>E. 4</w:t>
      </w:r>
    </w:p>
    <w:p>
      <w:r>
        <w:t>Le recourant soutient que les enregistrements litigieux sont manifestement inexploitables et doivent, partant, être écartés du dossier.</w:t>
      </w:r>
    </w:p>
    <w:p>
      <w:r>
        <w:rPr>
          <w:b/>
        </w:rPr>
        <w:t>E. 4.1</w:t>
      </w:r>
    </w:p>
    <w:p>
      <w:r>
        <w:t>Selon l'art. 141 al. 1 CPP, les preuves administrées en violation de l'art. 140 CPP – soit celles obtenues par contrainte, recours à la force, menaces, promesses, tromperie ou moyens susceptibles de restreindre les facultés intellectuelles ou le libre arbitre – ne sont en aucun cas exploitables. Les preuves qui ont été administrées d'une manière illicite ou en violation de règles de validité par les autorités pénales ne sont pas exploitables, à moins que leur exploitation soit indispensable pour élucider des infractions graves (al. 2).</w:t>
      </w:r>
    </w:p>
    <w:p>
      <w:r>
        <w:rPr>
          <w:b/>
        </w:rPr>
        <w:t>E. 4.2</w:t>
      </w:r>
    </w:p>
    <w:p>
      <w:r>
        <w:t>Au stade de l'instruction, la question de la légalité et de l'exploitabilité des moyens de preuve doit en principe être laissée à l'appréciation du juge du fond (art. 339 al. 2 let. d CPP), autorité dont il peut être attendu qu'elle soit en mesure de faire la distinction entre les moyens de preuve licites et ceux qui ne le seraient pas,</w:t>
      </w:r>
    </w:p>
    <w:p>
      <w:r>
        <w:t>- 6/9 - P/2943/2023 puis de fonder son appréciation en conséquence (ATF 144 IV 127 consid. 1.3.1; 143 IV 387 consid. 4.4). Cette approche se justifie également au regard du principe "in dubio pro duriore", lequel interdit au ministère public, confronté à des preuves non claires, d'anticiper sur l'appréciation des preuves par le juge du fond (ATF 143 IV 241 consid. 2.3.2; arrêt du Tribunal fédéral 6B_127/2019 du 9 septembre 2019 consid. 4.1.2 non publié in ATF 145 IV 462). Cette règle comporte toutefois des exceptions. Tel est le cas lorsque la loi prévoit expressément la restitution immédiate, respectivement la destruction immédiate, des preuves illicites (cf. notamment l'ancien art. 248 dans sa teneur en vigueur au 31 décembre 2023 [RO 2010 1881], art. 271 al. 3, 277 et 289 al. 6 CPP). Il en va de même quand, en vertu de la loi ou de circonstances spécifiques liées au cas d'espèce, le caractère illicite des moyens de preuve s'impose d'emblée (ATF 143 IV 475 consid. 2.7; arrêt du Tribunal fédéral 1B_91/2020 du 4 mars 2020 consid. 2.2; N. OBERHOLZER, Grundzüge des Strafprozessrechts, 4ème éd., Berne 2020, n. 1116 p. 345). Un intérêt juridiquement protégé particulièrement important est cependant nécessaire pour conduire à un constat immédiat de ce caractère inexploitable (ATF 144 IV 127 consid. 1.3.1; arrêt du Tribunal fédéral 7B_859/2023 du 17 juillet 2024 consid. 1.3.2).</w:t>
      </w:r>
    </w:p>
    <w:p>
      <w:r>
        <w:rPr>
          <w:b/>
        </w:rPr>
        <w:t>E. 4.3</w:t>
      </w:r>
    </w:p>
    <w:p>
      <w:r>
        <w:t>Dans le cas présent, les enregistrements versés au dossier effectués par B______, l'auraient été à l'insu du recourant. Ils sont par conséquent susceptibles de tomber sous le coup des art. 179ter CP et 179quater CP, qui répriment respectivement les enregistrements non autorisés de conversations et la violation du domaine secret ou du domaine privé au moyen d'un appareil de prise de vues. Cela étant, sur plainte du recourant, B______ a été prévenue de ces chefs et a, entre autres, nié le caractère pénal de ses actes en soutenant que son époux était au courant desdits enregistrements et qu'elle avait agi au bénéfice de motifs justificatifs. Or, sauf à anticiper l'examen du juge du fond à l'issue de l'administration des preuves, il n'appartient pas à la Chambre de céans d'examiner ici, pour la première fois, si ces arguments sont fondés et si les infractions en question sont, ou non, réalisées. Dans ces conditions, au vu des circonstances et des explications fournies de part et d'autre, l'on ne saurait considérer que le caractère illicite et, partant, manifestement inexploitable des preuves litigieuses, s'imposerait d'emblée. Par ailleurs, le recourant ne fait valoir aucun intérêt juridiquement protégé particulier au constat immédiat du caractère inexploitable des enregistrements visés et ne prétend en particulier pas que soumettre la question de leur légalité au juge du fond lui occasionnerait un préjudice irréparable.</w:t>
      </w:r>
    </w:p>
    <w:p>
      <w:r>
        <w:t>- 7/9 - P/2943/2023 Le recours sera par conséquent rejeté, sans qu'il soit nécessaire de trancher la question de savoir si la gravité des infractions en cause aurait ou non permis à l'autorité de mettre en œuvre des mesures de surveillance (cf. 269ss CPP).</w:t>
      </w:r>
    </w:p>
    <w:p>
      <w:r>
        <w:rPr>
          <w:b/>
        </w:rPr>
        <w:t>E. 5</w:t>
      </w:r>
    </w:p>
    <w:p>
      <w:r>
        <w:t>Justifiée, l'ordonnance querellée sera confirmée.</w:t>
      </w:r>
    </w:p>
    <w:p>
      <w:r>
        <w:rPr>
          <w:b/>
        </w:rPr>
        <w:t>E. 6</w:t>
      </w:r>
    </w:p>
    <w:p>
      <w:r>
        <w:t>Le recourant, qui succombe, supportera les frais envers l'État, fixés en totalité à CHF 1'000.- (art. 428 al. 1 CPP et 13 al. 1 du Règlement fixant le tarif des frais en matière pénale, RTFMP ; E 4 10.03). * * * * *</w:t>
      </w:r>
    </w:p>
    <w:p>
      <w:r>
        <w:t>- 8/9 - P/2943/2023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