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ACPR/920/2021 vom 8. Dezember 2021</w:t>
      </w:r>
    </w:p>
    <w:p>
      <w:r>
        <w:t>GE Cour de justice, 2021-12-08, FR</w:t>
      </w:r>
    </w:p>
    <w:p>
      <w:r>
        <w:rPr>
          <w:b/>
        </w:rPr>
        <w:t xml:space="preserve">Quelle: </w:t>
      </w:r>
      <w:r>
        <w:t>https://mcp.opencaselaw.ch/entscheid/ge_gerichte_ACPR_920_2021</w:t>
      </w:r>
    </w:p>
    <w:p>
      <w:r>
        <w:t>FR: GE_GERICHTE ACPR/920/2021 du 8 décembre 2021</w:t>
      </w:r>
    </w:p>
    <w:p>
      <w:r>
        <w:t>IT: GE_GERICHTE ACPR/920/2021 del 8 dicembre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w:t>
      </w:r>
    </w:p>
    <w:p>
      <w:r>
        <w:rPr>
          <w:b/>
        </w:rPr>
        <w:t>E. 2.2</w:t>
      </w:r>
    </w:p>
    <w:p>
      <w:r>
        <w:t>En l'espèce, le plaignant est convaincu que l'individu, masqué, qu'il a apostrophé le 21 octobre 2021, et qui l'a ensuite repoussé, est le même que celui, également masqué, qu'il avait identifié sur les images de la vidéosurveillance comme ayant dérobé des marchandises le 20 septembre précédent. Il considère que les yeux et le regard, ainsi que la démarche, de l'homme en question seraient les mêmes, et déclare retrouver ces traits dans ceux du prévenu. La plaignante n'a quant à elle pas vu le visage de l'individu qui l'a bousculée le 21 octobre 2021 et était parvenu à prendre la fuite. Il ressort des éléments au dossier que lorsque la serveuse a déposé plainte, le 12 novembre 2021, au poste de police de G______, les policiers lui ont soumis une planche photographique établie ce jour-là, dont un seul des huit portraits comportait un nom, celui du prévenu, ce qui semble démontrer que les policiers dirigeaient leurs soupçons sur lui. On ignore toutefois, le rapport effectué ultérieurement par les gendarmes d'un autre poste de police ne le mentionnant pas, sur la base de quels indices ils soupçonnaient le recourant, au point de délivrer ce jour-là un ordre</w:t>
      </w:r>
    </w:p>
    <w:p>
      <w:r>
        <w:t>- 8/12 - P/23670/2021 d'arrestation provisoire contre lui. Or, la description fournie par la plaignante, qui n'a vu l'individu que de dos, n'est pas significative, et celle du gérant – auquel la planche photographique n'a pas été soumise, puisqu'il a été entendu avant son établissement – laisse songeur, puisqu'il décrit un homme aux yeux verts, alors que la photographie ne permet pas de déterminer cette couleur, et aux cheveux courts et bouclés, tandis que le prévenu arbore, sur la photographie, des cheveux mi-longs et plutôt lisses. Les policiers de G______ ont peut-être identifié l'auteur grâce aux images de la vidéosurveillance fournies par le plaignant, mais le rapport de police ne le dit pas, ni aucun élément au dossier. Dans ces circonstances, on ne voit pas, contrairement au Ministère public et au TMC, que les "constatations policières" permettraient de lier l'individu soupçonné de vol et de bousculades – pour autant qu'il s'agisse de la même personne –, au prévenu, dont le portrait figurant sur la planche photographique ne correspond pas à la description qu'en a faite le plaignant. Le dossier ne contient aucune photographie du prévenu au moment de son arrestation, et les procès-verbaux établis par le Ministère public ne donnent aucune indication sur son aspect physique (coupe de cheveux, couleurs des yeux, etc.), susceptible de relier son apparence physique à la description faite par le gérant lors du dépôt de plainte. Dans aucun de ses écrits le Ministère public n'allègue d'ailleurs que le prévenu ressemblerait à l'individu sur les images de la vidéosurveillance, qu'il s'agisse de celles du 20 septembre 2021 ou du 21 octobre 2021, et le TMC n'a pas vu le prévenu, la procédure s'étant déroulée par écrit. Partant, au stade de l'avis de prochaine clôture, les charges pour les infractions de vol, lésions corporelles (simples ou par négligence) et voies de faits, paraissent insuffisantes à justifier la mise en détention provisoire pour ces faits. En revanche, il existe une prévention suffisante de la commission de l'infraction prévue à l'art. 115 al. 1 let. b LÉI, le recourant étant demeuré sur le territoire suisse depuis sa précédente arrestation alors qu'il se sait faire l'objet d'une interdiction d'entrée sur le territoire, notifiée en janvier 2020 et valable jusqu'en janvier 2023. La négligence invoquée par le recourant n'entre ici pas en ligne de compte, étant au demeurant relevé que l'ordonnance pénale rendue contre lui le 24 juin 2021 mentionnait déjà l'interdiction d'entrée en Suisse. Le séjour illégal étant un délit (art. 10 al. 3 CP), la condition de l'art. 221 al. 1 1ère phrase est remplie.</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w:t>
      </w:r>
    </w:p>
    <w:p>
      <w:r>
        <w:t>- 9/12 - P/23670/2021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En l'espèce, le recourant, de nationalité algérienne, n'a pas de famille en Suisse. Il déclare y avoir des attaches et une "fiancée", mais force est de constater qu'il n'a pas de domicile fixe et ne travaille pas. Le risque est donc grand que, dans la perspective du jugement à venir, il ne décide, pour échapper à l'éventuelle condamnation – qui plus est si la présente cause était jointe aux deux autres actuellement pendantes devant le Tribunal de police –, de retourner en France, où il a déjà vécu plusieurs années, ou en Italie, voire d'entrer dans la clandestinité en Suisse. C'est donc à bon droit que le risque de fuite a été retenu par l'autorité précédente.</w:t>
      </w:r>
    </w:p>
    <w:p>
      <w:r>
        <w:rPr>
          <w:b/>
        </w:rPr>
        <w:t>E. 4</w:t>
      </w:r>
    </w:p>
    <w:p>
      <w:r>
        <w:t>Le risque de fuite étant réalisé, l'autorité de recours peut se dispenser d'examiner si d'autres risques – alternatifs – le sont également (arrêt du Tribunal fédéral 1B_322/2019 du 17 juillet 2019 consid. 3.3 et la jurisprudence citée).</w:t>
      </w:r>
    </w:p>
    <w:p>
      <w:r>
        <w:rPr>
          <w:b/>
        </w:rPr>
        <w:t>E. 5</w:t>
      </w:r>
    </w:p>
    <w:p>
      <w:r>
        <w:t>Le recourant propose de se présenter tous les jours à un poste de police pour pallier le risque précité. Cet engagement n'empêcherait toutefois ni un départ à l'étranger ni une disparition dans la clandestinité, mais uniquement de constater son absence. En l'occurrence, compte tenu de l'importance du risque de fuite, aucune mesure de substitution, au sens de l'art. 237 CPP, n'est de nature à le pallier.</w:t>
      </w:r>
    </w:p>
    <w:p>
      <w:r>
        <w:rPr>
          <w:b/>
        </w:rPr>
        <w:t>E. 6</w:t>
      </w:r>
    </w:p>
    <w:p>
      <w:r>
        <w:t>Le recourant se plaint d'une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w:t>
      </w:r>
    </w:p>
    <w:p>
      <w:r>
        <w:rPr>
          <w:b/>
        </w:rPr>
        <w:t>E. 6.2</w:t>
      </w:r>
    </w:p>
    <w:p>
      <w:r>
        <w:t>En l'espèce, l'instruction étant achevée, un renvoi un jugement du recourant ne saurait tarder. La détention provisoire ordonnée, pour une durée de deux mois, ne</w:t>
      </w:r>
    </w:p>
    <w:p>
      <w:r>
        <w:t>- 10/12 - P/23670/2021 dépasse pas la peine concrètement encourue, compte tenu des antécédents spécifiques du recourant, même si l'on ne devait retenir que l'infraction à la LÉI.</w:t>
      </w:r>
    </w:p>
    <w:p>
      <w:r>
        <w:rPr>
          <w:b/>
        </w:rPr>
        <w:t>E. 7</w:t>
      </w:r>
    </w:p>
    <w:p>
      <w:r>
        <w:t>Le recours s'avère ainsi infondé et doit être rejeté.</w:t>
      </w:r>
    </w:p>
    <w:p>
      <w:r>
        <w:rPr>
          <w:b/>
        </w:rPr>
        <w:t>E. 8</w:t>
      </w:r>
    </w:p>
    <w:p>
      <w:r>
        <w:t>Le recourant, qui succombe, supportera les frais envers l'État, fixés en totalité à CHF 900.- (art. 428 al. 1 CPP et 13 al. 1 du Règlement fixant le tarif des frais en matière pénale, RTFMP ; E 4 10.03).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le recours n'était, nonobstant son issue, pas dépourvu de chances de succès et le contrôle des charges par l'autorité de recours se justifiait. L'indemnité du défenseur d'office sera fixée à la fin de la procédure (art. 135 al. 2 CPP). * * * * *</w:t>
      </w:r>
    </w:p>
    <w:p>
      <w:r>
        <w:t>- 11/12 - P/23670/2021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