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ACPR/91/2023 vom 7. November 2022</w:t>
      </w:r>
    </w:p>
    <w:p>
      <w:r>
        <w:t>GE Cour de justice, 2022-11-07, FR</w:t>
      </w:r>
    </w:p>
    <w:p>
      <w:r>
        <w:rPr>
          <w:b/>
        </w:rPr>
        <w:t xml:space="preserve">Quelle: </w:t>
      </w:r>
      <w:r>
        <w:t>https://mcp.opencaselaw.ch/entscheid/ge_gerichte_ACPR_91_2023</w:t>
      </w:r>
    </w:p>
    <w:p>
      <w:r>
        <w:t>FR: GE_GERICHTE ACPR/91/2023 du 7 novembre 2022</w:t>
      </w:r>
    </w:p>
    <w:p>
      <w:r>
        <w:t>IT: GE_GERICHTE ACPR/91/2023 del 7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(393 al. 1 let. b CPP; M. NIGGLI / M. HEER / H. WIPRÄCHTIGER (éds), Strafprozessordnung - Jugendstrafprozessordnung, Basler Kommentar StPO/JStPO, 2ème éd., Bâle 2014, n. 12 ad art. 393; cf. aussi ACPR/176/2021 du 16 mars 2021)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sa demande d'exécution anticipée de sa peine.</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p. 278). En vertu de l'art. 236 al. 4 CPP, le prévenu est soumis au régime de l'exécution de la peine dès son entrée dans l'établissement, sauf si le but de la détention provisoire ou de la détention pour des motifs de sûreté s'y oppose (arrêts du Tribunal fédéral 1B_426/2012 du 3 août 2012 consid. 2.1; 1B_415/2012 du 25 juillet 2012 consid. 3 et les arrêts cités).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w:t>
      </w:r>
    </w:p>
    <w:p>
      <w:r>
        <w:t>- 7/9 - P/21769/2020 compromettrait l'accomplissement (arrêt du Tribunal fédéral 1B_107/2020 du 24 mars 2020 consid. 2.1).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rPr>
          <w:b/>
        </w:rPr>
        <w:t>E. 2.2</w:t>
      </w:r>
    </w:p>
    <w:p>
      <w:r>
        <w:t>En l'occurrence, la Chambre de céans, à laquelle il n'appartient pas d'apprécier le rôle respectif de chacun des prévenus dans le trafic, constate que le recourant sera renvoyé en jugement pour infraction grave à la LStup et infraction à la LEI. Le risque de collusion a systématiquement été retenu contre lui par le TMC; l'intéressé est impliqué dans un important trafic de stupéfiants dont l'ensemble des membres du réseau n'ont pas tous été identifiés, de sorte qu'il ne peut être exclu qu'il cherche à les contacter, ce qu'il pourrait faire plus facilement sous le régime de l'exécution de peine. Enfin, le but de l'art. 236 CPP est d'offrir au détenu un régime d'exécution tenant compte notamment de sa situation et de lui assurer, cas échéant, de meilleures chances de resocialisation (ATF 143 IV 160 consid. 2.1). Or, force est de constater que le recourant ne répond pas à cette condition préalable, faute de pouvoir espérer séjourner en Suisse par la suite. En toute hypothèse, le Procureur, qui mène son instruction sans retard, a annoncé qu'il réexaminerait la question lors du renvoi en jugement auquel il devrait procéder rapidement, sauf demande de réquisition de preuves de la part du recourant.</w:t>
      </w:r>
    </w:p>
    <w:p>
      <w:r>
        <w:rPr>
          <w:b/>
        </w:rPr>
        <w:t>E. 3</w:t>
      </w:r>
    </w:p>
    <w:p>
      <w:r>
        <w:t>Le recourant, bien qu'au bénéfice de l'assistance juridique,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CHF 900.- (art. 13 al. 1 du Règlement fixant le tarif des frais en matière pénale, RTFMP; E 4 10.03).</w:t>
      </w:r>
    </w:p>
    <w:p>
      <w:r>
        <w:rPr>
          <w:b/>
        </w:rPr>
        <w:t>E. 4</w:t>
      </w:r>
    </w:p>
    <w:p>
      <w:r>
        <w:t>Il n'y a pas lieu d'indemniser à ce stade le défenseur d'office (art. 135 al. 2 CPP). * * * * *</w:t>
      </w:r>
    </w:p>
    <w:p>
      <w:r>
        <w:t>- 8/9 - P/21769/2020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