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ACPR/91/2022 vom 2. Juni 2021</w:t>
      </w:r>
    </w:p>
    <w:p>
      <w:r>
        <w:t>GE Cour de justice, 2021-06-02, FR</w:t>
      </w:r>
    </w:p>
    <w:p>
      <w:r>
        <w:rPr>
          <w:b/>
        </w:rPr>
        <w:t xml:space="preserve">Quelle: </w:t>
      </w:r>
      <w:r>
        <w:t>https://mcp.opencaselaw.ch/entscheid/ge_gerichte_ACPR_91_2022</w:t>
      </w:r>
    </w:p>
    <w:p>
      <w:r>
        <w:t>FR: GE_GERICHTE ACPR/91/2022 du 2 juin 2021</w:t>
      </w:r>
    </w:p>
    <w:p>
      <w:r>
        <w:t>IT: GE_GERICHTE ACPR/91/2022 del 2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cause l'ordonnance querellée en tant qu'elle lui refuse une indemnité pour les jours de détention et de mesures de substitution ordonnés ainsi qu'en réparation du tort moral et du dommage économique subis. Ces points n'apparaissant plus litigieux, ils ne seront pas examinés plus avant (art. 385 al. 1 let. a CPP).</w:t>
      </w:r>
    </w:p>
    <w:p>
      <w:r>
        <w:rPr>
          <w:b/>
        </w:rPr>
        <w:t>E. 3</w:t>
      </w:r>
    </w:p>
    <w:p>
      <w:r>
        <w:t>Le recourant reproche au Ministère public de ne pas lui avoir alloué d'indemnité pour les dépenses occasionnées par l'exercice raisonnable de ses droits de procédure (art. 429 al. 1 let. a CPP).</w:t>
      </w:r>
    </w:p>
    <w:p>
      <w:r>
        <w:rPr>
          <w:b/>
        </w:rPr>
        <w:t>E. 3.1</w:t>
      </w:r>
    </w:p>
    <w:p>
      <w:r>
        <w:t>En vertu de l'art. 430 al. 1 let. a CPP, l'autorité pénale peut réduire ou refuser l'indemnité ou la réparation du tort moral lorsque le prévenu a provoqué illicitement et fautivement l'ouverture de la procédure ou a rendu plus difficile la conduite de celle-ci.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w:t>
      </w:r>
    </w:p>
    <w:p>
      <w:r>
        <w:t>- 6/9 - P/22727/2015 entre en ligne de compte (arrêt du Tribunal fédéral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w:t>
      </w:r>
    </w:p>
    <w:p>
      <w:r>
        <w:rPr>
          <w:b/>
        </w:rPr>
        <w:t>E. 3.2</w:t>
      </w:r>
    </w:p>
    <w:p>
      <w:r>
        <w:t>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Il est toutefois concevable d'indemniser, dans une mesure réduite, le prévenu qui doit supporter l'ensemble des frais de justice lorsque sa faute ne concerne que certains actes de procédure ou certaines phases du procès, la réduction ne pouvant concerner que l'indemnité y afférant (arrêt du Tribunal fédéral 6B_556/2017 du 15 mars 2018 consid. 2.6 et la référence citée).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faut identifier quels actes d'instruction ont été rendus inutiles et les dommages qu'ils ont causés. Il convient de vérifier si c'est bien au titre des infractions abandonnées par classement ou acquittement que le prévenu a droit à une indemnité. L'indemnité est due si les infractions abandonnées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 Y. JEANNERET / A. KUHN / C. PERRIER DEPEURSINGE (éds),</w:t>
      </w:r>
    </w:p>
    <w:p>
      <w:r>
        <w:t>- 7/9 - P/22727/2015 Commentaire romand : Code de procédure pénale suisse, 2e éd., Bâle 2019, n. 27 ad art. 429).</w:t>
      </w:r>
    </w:p>
    <w:p>
      <w:r>
        <w:rPr>
          <w:b/>
        </w:rPr>
        <w:t>E. 3.3</w:t>
      </w:r>
    </w:p>
    <w:p>
      <w:r>
        <w:t>En l'espèce, le Ministère public a statué sur le sort des frais dans l'ordonnance pénale qu'il a rendue parallèlement, mettant ceux-ci intégralement à la charge du prévenu. On comprend de ses observations que, les faits instruits formant un tout, il a jugé préférable de n'imputer les frais de la procédure qu'à l'infraction pour laquelle le recourant est renvoyé en jugement. Il n'en demeure pas moins que, en principe, conformément à la jurisprudence sus- rappelée, lorsque le prévenu n'est pas condamné aux frais de la procédure pour le chef d'accusation dont il est libéré, il peut prétendre à être indemnisé pour son dommage en lien avec l'infraction ayant fait l'objet d'un classement. Le Ministère public tente d'invoquer, pour justifier le refus d'indemnisation, le fait que le recourant ne pouvait ignorer que son comportement était contraire à une norme de comportement, citant le RPAC à titre exemplatif. Or, l'on ne voit pas comment le recourant aurait pu violer une disposition contenue dans un règlement genevois qui ne lui est pas applicable, celui-ci était contraignant pour les personnes visées à l'art. 1 de la Loi générale relative au personnel de l’administration cantonale, du pouvoir judiciaire et des établissements publics médicaux (LPAC; B 5 05), soit les fonctionnaires, ce qu'il n'était pas. Par ailleurs, il n'est pas possible de reprocher au recourant d'avoir provoqué l'ouverture de la procédure en raison des comportements retenus dans l'ordonnance pénale rendue parallèlement – soit en raison de ses contacts réitérés avec l'employé de l'OCPM et des échanges d'informations intervenus –, ni ceux à l'origine de l'ordonnance querellée, sauf à porter atteinte à la présomption d'innocence. On ne voit en outre pas quelle autre norme de comportement aurait été violée par le recourant. Aussi, les conditions de l'art. 430 al. 1 let. a CPP ne sont pas réunies.</w:t>
      </w:r>
    </w:p>
    <w:p>
      <w:r>
        <w:rPr>
          <w:b/>
        </w:rPr>
        <w:t>E. 4</w:t>
      </w:r>
    </w:p>
    <w:p>
      <w:r>
        <w:t>Reste à examiner si le recourant peut prétendre à l'octroi de l'indemnité sollicitée.</w:t>
      </w:r>
    </w:p>
    <w:p>
      <w:r>
        <w:rPr>
          <w:b/>
        </w:rPr>
        <w:t>E. 4.1</w:t>
      </w:r>
    </w:p>
    <w:p>
      <w:r>
        <w:t>Aux termes de l'art. 429 al. 1 let. a CPP, le prévenu, acquitté totalement ou en partie ou qui bénéficie d'une ordonnance de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w:t>
      </w:r>
    </w:p>
    <w:p>
      <w:r>
        <w:t>- 8/9 - P/22727/2015 (arrêt du Tribunal fédéral 6B_387/2013 du 8 juillet 2013 consid. 2.1, non publié aux ATF 139 IV 241).</w:t>
      </w:r>
    </w:p>
    <w:p>
      <w:r>
        <w:rPr>
          <w:b/>
        </w:rPr>
        <w:t>E. 4.2</w:t>
      </w:r>
    </w:p>
    <w:p>
      <w:r>
        <w:t>En l'espèce, le recourant demande à être indemnisé à hauteur de CHF 25'836.97 sur la base des notes d'honoraires de ses conseils pour les activités déployées dans le cadre de la présente procédure après la révocation de la défense d'office. Dans la mesure où les conditions de l'art. 430 CPP ne sont pas réunies, le recourant a droit à une indemnisation pour l'exercice raisonnable de ses droits de procédure. Afin de permettre au recourant de bénéficier du double degré de juridiction, la présente cause sera renvoyée au Ministère public (art. 397 al. 2 CPP) pour qu'il statue sur la demande d'indemnité et qu'il en détermine le montant, en procédant à une répartition équitable de la somme réclamée à l'aune des actes d'instruction réalisés en lien avec le volet de la procédure ayant fait l'objet du classement.</w:t>
      </w:r>
    </w:p>
    <w:p>
      <w:r>
        <w:rPr>
          <w:b/>
        </w:rPr>
        <w:t>E. 5</w:t>
      </w:r>
    </w:p>
    <w:p>
      <w:r>
        <w:t>Fondé, le recours doit être admis ; partant, l'ordonnance querellée sera annulée.</w:t>
      </w:r>
    </w:p>
    <w:p>
      <w:r>
        <w:rPr>
          <w:b/>
        </w:rPr>
        <w:t>E. 6</w:t>
      </w:r>
    </w:p>
    <w:p>
      <w:r>
        <w:t>L'admission du recours ne donne pas lieu à la perception de frais (art. 428 al. 1 CPP)</w:t>
      </w:r>
    </w:p>
    <w:p>
      <w:r>
        <w:rPr>
          <w:b/>
        </w:rPr>
        <w:t>E. 7</w:t>
      </w:r>
    </w:p>
    <w:p>
      <w:r>
        <w:t>Le mis en cause conclut à l'octroi de CHF 2'000.- pour ses frais de défense dans la procédure de recours. Ce montant n'apparaît pas déraisonnable, compte tenu du recours portant sur neuf pages au tarif-horaire de CHF 450.-. L'indemnité réclamée lui sera donc allouée, TVA comprise. * * * * *</w:t>
      </w:r>
    </w:p>
    <w:p>
      <w:r>
        <w:t>- 9/9 - P/22727/2015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